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urc-20260731x10q.htm"/>
        <w:bookmarkStart w:id="1" w:name="kshurc202607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98b34cee_5941_498b_af5a_12aceea11003"/>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4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1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pBdr/>
        <w:bidi w:val="0"/>
        <w:spacing w:before="0" w:after="140"/>
        <w:ind w:left="0" w:right="0" w:hanging="360"/>
        <w:jc w:val="both"/>
        <w:rPr/>
      </w:pPr>
      <w:r>
        <w:rPr/>
        <w:t>⌧   </w:t>
      </w:r>
      <w:r>
        <w:rPr>
          <w:rFonts w:ascii="Times New Roman;Times;serif" w:hAnsi="Times New Roman;Times;serif"/>
          <w:sz w:val="20"/>
        </w:rPr>
        <w:t>Quarterly report pursuant to Section 13 or 15(d) of the Securities Exchange Act of 1934 for the quarterly period ended July 31, 2026 or</w:t>
      </w:r>
    </w:p>
    <w:p>
      <w:pPr>
        <w:pStyle w:val="TextBody"/>
        <w:pBdr/>
        <w:bidi w:val="0"/>
        <w:spacing w:before="0" w:after="140"/>
        <w:ind w:left="0" w:right="0" w:hanging="360"/>
        <w:jc w:val="both"/>
        <w:rPr/>
      </w:pPr>
      <w:r>
        <w:rPr/>
        <w:t>☐   </w:t>
      </w:r>
      <w:r>
        <w:rPr>
          <w:rFonts w:ascii="Times New Roman;Times;serif" w:hAnsi="Times New Roman;Times;serif"/>
          <w:sz w:val="20"/>
        </w:rPr>
        <w:t>Transition report pursuant to Section 13 or 15(d) of the Securities Exchange Act of 1934 for the transition period from _________ to _________.</w:t>
      </w:r>
    </w:p>
    <w:p>
      <w:pPr>
        <w:pStyle w:val="TextBody"/>
        <w:bidi w:val="0"/>
        <w:spacing w:before="0" w:after="140"/>
        <w:ind w:left="0" w:right="0" w:hanging="0"/>
        <w:jc w:val="left"/>
        <w:rPr>
          <w:rFonts w:ascii="Times New Roman;Times;serif" w:hAnsi="Times New Roman;Times;serif"/>
          <w:sz w:val="20"/>
        </w:rPr>
      </w:pPr>
      <w:r>
        <w:rPr>
          <w:rFonts w:ascii="Times New Roman;Times;serif" w:hAnsi="Times New Roman;Times;serif"/>
          <w:sz w:val="20"/>
        </w:rPr>
        <w:t>Commission File No. 0-9143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HURCO COMPANIES,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vI8W5qJx30muKBVmioEBXA_6_2"/>
      <w:bookmarkStart w:id="4" w:name="Tc_esD0SvEZXkiz-WYadufyYw_6_0"/>
      <w:bookmarkStart w:id="5" w:name="Tc_jyqyGSwNNUWW7V2sXHQuRA_5_0"/>
      <w:bookmarkStart w:id="6" w:name="Tc_7pBa9AFo70i4C8OGJ482uw_2_0"/>
      <w:bookmarkStart w:id="7" w:name="Tc_ybPR-0al0EykhoCgnaGCWw_1_2"/>
      <w:bookmarkStart w:id="8" w:name="Tc_BlXKvCmE8kySOBe2pVabkA_1_0"/>
      <w:bookmarkStart w:id="9" w:name="_815549c7_351b_4e56_9aad_f8cb64bbb5c6"/>
      <w:bookmarkStart w:id="10" w:name="Tc_vI8W5qJx30muKBVmioEBXA_6_2"/>
      <w:bookmarkStart w:id="11" w:name="Tc_esD0SvEZXkiz-WYadufyYw_6_0"/>
      <w:bookmarkStart w:id="12" w:name="Tc_jyqyGSwNNUWW7V2sXHQuRA_5_0"/>
      <w:bookmarkStart w:id="13" w:name="Tc_7pBa9AFo70i4C8OGJ482uw_2_0"/>
      <w:bookmarkStart w:id="14" w:name="Tc_ybPR-0al0EykhoCgnaGCWw_1_2"/>
      <w:bookmarkStart w:id="15" w:name="Tc_BlXKvCmE8kySOBe2pVabkA_1_0"/>
      <w:bookmarkStart w:id="16" w:name="_815549c7_351b_4e56_9aad_f8cb64bbb5c6"/>
      <w:bookmarkEnd w:id="10"/>
      <w:bookmarkEnd w:id="11"/>
      <w:bookmarkEnd w:id="12"/>
      <w:bookmarkEnd w:id="13"/>
      <w:bookmarkEnd w:id="14"/>
      <w:bookmarkEnd w:id="15"/>
      <w:bookmarkEnd w:id="16"/>
    </w:p>
    <w:tbl>
      <w:tblPr>
        <w:tblW w:w="7038" w:type="dxa"/>
        <w:jc w:val="left"/>
        <w:tblInd w:w="0" w:type="dxa"/>
        <w:tblLayout w:type="fixed"/>
        <w:tblCellMar>
          <w:top w:w="0" w:type="dxa"/>
          <w:left w:w="0" w:type="dxa"/>
          <w:bottom w:w="28" w:type="dxa"/>
          <w:right w:w="0" w:type="dxa"/>
        </w:tblCellMar>
      </w:tblPr>
      <w:tblGrid>
        <w:gridCol w:w="3301"/>
        <w:gridCol w:w="346"/>
        <w:gridCol w:w="3391"/>
      </w:tblGrid>
      <w:tr>
        <w:trPr/>
        <w:tc>
          <w:tcPr>
            <w:tcW w:w="33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Indiana</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339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35-1150732</w:t>
            </w:r>
          </w:p>
        </w:tc>
      </w:tr>
      <w:tr>
        <w:trPr/>
        <w:tc>
          <w:tcPr>
            <w:tcW w:w="33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Number)</w:t>
            </w:r>
          </w:p>
        </w:tc>
      </w:tr>
      <w:tr>
        <w:trPr/>
        <w:tc>
          <w:tcPr>
            <w:tcW w:w="33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tcMar>
              <w:bottom w:w="0" w:type="dxa"/>
            </w:tcMar>
            <w:vAlign w:val="center"/>
          </w:tcPr>
          <w:p>
            <w:pPr>
              <w:pStyle w:val="TableContents"/>
              <w:bidi w:val="0"/>
              <w:spacing w:before="0" w:after="0"/>
              <w:ind w:left="0" w:right="0" w:hanging="0"/>
              <w:jc w:val="center"/>
              <w:rPr/>
            </w:pPr>
            <w:r>
              <w:rPr/>
              <w:t> </w:t>
            </w:r>
          </w:p>
        </w:tc>
      </w:tr>
      <w:tr>
        <w:trPr/>
        <w:tc>
          <w:tcPr>
            <w:tcW w:w="3301" w:type="dxa"/>
            <w:tcBorders/>
            <w:tcMar>
              <w:bottom w:w="0" w:type="dxa"/>
            </w:tcMar>
            <w:vAlign w:val="center"/>
          </w:tcPr>
          <w:p>
            <w:pPr>
              <w:pStyle w:val="TableContents"/>
              <w:bidi w:val="0"/>
              <w:spacing w:before="0" w:after="0"/>
              <w:ind w:left="0" w:right="0" w:hanging="0"/>
              <w:jc w:val="center"/>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tcMar>
              <w:bottom w:w="0" w:type="dxa"/>
            </w:tcMar>
            <w:vAlign w:val="center"/>
          </w:tcPr>
          <w:p>
            <w:pPr>
              <w:pStyle w:val="TableContents"/>
              <w:bidi w:val="0"/>
              <w:spacing w:before="0" w:after="0"/>
              <w:ind w:left="0" w:right="0" w:hanging="0"/>
              <w:jc w:val="center"/>
              <w:rPr/>
            </w:pPr>
            <w:r>
              <w:rPr/>
              <w:t> </w:t>
            </w:r>
          </w:p>
        </w:tc>
      </w:tr>
      <w:tr>
        <w:trPr/>
        <w:tc>
          <w:tcPr>
            <w:tcW w:w="3301"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Technology Way</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tcMar>
              <w:bottom w:w="0" w:type="dxa"/>
            </w:tcMar>
            <w:vAlign w:val="center"/>
          </w:tcPr>
          <w:p>
            <w:pPr>
              <w:pStyle w:val="TableContents"/>
              <w:bidi w:val="0"/>
              <w:spacing w:before="0" w:after="0"/>
              <w:ind w:left="0" w:right="0" w:hanging="0"/>
              <w:jc w:val="center"/>
              <w:rPr/>
            </w:pPr>
            <w:r>
              <w:rPr/>
              <w:t> </w:t>
            </w:r>
          </w:p>
        </w:tc>
      </w:tr>
      <w:tr>
        <w:trPr/>
        <w:tc>
          <w:tcPr>
            <w:tcW w:w="33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Indianapolis, Indiana</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46268</w:t>
            </w:r>
          </w:p>
        </w:tc>
      </w:tr>
      <w:tr>
        <w:trPr/>
        <w:tc>
          <w:tcPr>
            <w:tcW w:w="330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339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Registrant’s telephone number, including area code    </w:t>
      </w:r>
      <w:r>
        <w:rPr>
          <w:rFonts w:ascii="Times New Roman;Times;serif" w:hAnsi="Times New Roman;Times;serif"/>
          <w:b/>
          <w:sz w:val="20"/>
        </w:rPr>
        <w:t>(317) 293-5309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MBQ6FdEVc0q1zgNzEwX1Fw_0_2"/>
      <w:bookmarkStart w:id="18" w:name="Tc_J8p8FgpxUkWb-Lc4XjfdmA_0_1"/>
      <w:bookmarkStart w:id="19" w:name="Tc_k6kSz7gk8k2WAXyAMAukTg_0_0"/>
      <w:bookmarkStart w:id="20" w:name="_8f253dba_f5e0_4410_ba2f_ad0fdda71cc4"/>
      <w:bookmarkStart w:id="21" w:name="Tc_MBQ6FdEVc0q1zgNzEwX1Fw_0_2"/>
      <w:bookmarkStart w:id="22" w:name="Tc_J8p8FgpxUkWb-Lc4XjfdmA_0_1"/>
      <w:bookmarkStart w:id="23" w:name="Tc_k6kSz7gk8k2WAXyAMAukTg_0_0"/>
      <w:bookmarkStart w:id="24" w:name="_8f253dba_f5e0_4410_ba2f_ad0fdda71cc4"/>
      <w:bookmarkEnd w:id="21"/>
      <w:bookmarkEnd w:id="22"/>
      <w:bookmarkEnd w:id="23"/>
      <w:bookmarkEnd w:id="24"/>
    </w:p>
    <w:tbl>
      <w:tblPr>
        <w:tblW w:w="7803" w:type="dxa"/>
        <w:jc w:val="left"/>
        <w:tblInd w:w="0" w:type="dxa"/>
        <w:tblLayout w:type="fixed"/>
        <w:tblCellMar>
          <w:top w:w="28" w:type="dxa"/>
          <w:left w:w="28" w:type="dxa"/>
          <w:bottom w:w="28" w:type="dxa"/>
          <w:right w:w="28" w:type="dxa"/>
        </w:tblCellMar>
      </w:tblPr>
      <w:tblGrid>
        <w:gridCol w:w="2476"/>
        <w:gridCol w:w="1621"/>
        <w:gridCol w:w="3706"/>
      </w:tblGrid>
      <w:tr>
        <w:trPr/>
        <w:tc>
          <w:tcPr>
            <w:tcW w:w="24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4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no par value</w:t>
            </w:r>
          </w:p>
        </w:tc>
        <w:tc>
          <w:tcPr>
            <w:tcW w:w="16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HURC</w:t>
            </w:r>
          </w:p>
        </w:tc>
        <w:tc>
          <w:tcPr>
            <w:tcW w:w="3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720" w:right="0" w:hanging="0"/>
        <w:jc w:val="both"/>
        <w:rPr/>
      </w:pPr>
      <w:r>
        <w:rPr/>
        <w:t>​</w:t>
      </w:r>
    </w:p>
    <w:tbl>
      <w:tblPr>
        <w:tblW w:w="5087" w:type="dxa"/>
        <w:jc w:val="left"/>
        <w:tblInd w:w="0" w:type="dxa"/>
        <w:tblLayout w:type="fixed"/>
        <w:tblCellMar>
          <w:top w:w="0" w:type="dxa"/>
          <w:left w:w="0" w:type="dxa"/>
          <w:bottom w:w="0" w:type="dxa"/>
          <w:right w:w="0" w:type="dxa"/>
        </w:tblCellMar>
      </w:tblPr>
      <w:tblGrid>
        <w:gridCol w:w="2551"/>
        <w:gridCol w:w="2536"/>
      </w:tblGrid>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5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the Registrant’s common stock outstanding as of August 31, 2026 was 6,476,322.</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4"/>
        </w:rPr>
      </w:pPr>
      <w:bookmarkStart w:id="25" w:name="_c020968f_7b42_4b5c_8a23_1ad91959f300"/>
      <w:bookmarkEnd w:id="25"/>
      <w:r>
        <w:rPr>
          <w:rFonts w:ascii="Times New Roman;Times;serif" w:hAnsi="Times New Roman;Times;serif"/>
          <w:b/>
          <w:sz w:val="24"/>
        </w:rPr>
        <w:t>HURCO COMPANIES, INC.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Form 10-Q Quarterly Report for Fiscal Quarter Ended July 31, 2026</w:t>
      </w:r>
    </w:p>
    <w:p>
      <w:pPr>
        <w:pStyle w:val="TextBody"/>
        <w:bidi w:val="0"/>
        <w:spacing w:before="0" w:after="24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9033"/>
        <w:gridCol w:w="361"/>
      </w:tblGrid>
      <w:tr>
        <w:trPr/>
        <w:tc>
          <w:tcPr>
            <w:tcW w:w="10205" w:type="dxa"/>
            <w:gridSpan w:val="3"/>
            <w:tcBorders/>
            <w:vAlign w:val="center"/>
          </w:tcPr>
          <w:p>
            <w:pPr>
              <w:pStyle w:val="TableContents"/>
              <w:bidi w:val="0"/>
              <w:spacing w:before="0" w:after="0"/>
              <w:ind w:left="0" w:right="0" w:hanging="0"/>
              <w:jc w:val="center"/>
              <w:rPr/>
            </w:pPr>
            <w:hyperlink w:anchor="PARTIFINANCIALINFORMATION_814663">
              <w:r>
                <w:rPr>
                  <w:rStyle w:val="InternetLink"/>
                  <w:rFonts w:ascii="Times New Roman;Times;serif" w:hAnsi="Times New Roman;Times;serif"/>
                  <w:b/>
                  <w:i w:val="false"/>
                  <w:caps w:val="false"/>
                  <w:smallCaps w:val="false"/>
                  <w:sz w:val="20"/>
                </w:rPr>
                <w:t>Part I - Financial Information</w:t>
              </w:r>
            </w:hyperlink>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hyperlink w:anchor="Item1FINANCIALSTATEMENTS_684974">
              <w:r>
                <w:rPr>
                  <w:rStyle w:val="InternetLink"/>
                  <w:rFonts w:ascii="Times New Roman;Times;serif" w:hAnsi="Times New Roman;Times;serif"/>
                  <w:b w:val="false"/>
                  <w:i w:val="false"/>
                  <w:caps w:val="false"/>
                  <w:smallCaps w:val="false"/>
                  <w:sz w:val="20"/>
                </w:rPr>
                <w:t>Item 1.</w:t>
              </w:r>
            </w:hyperlink>
          </w:p>
        </w:tc>
        <w:tc>
          <w:tcPr>
            <w:tcW w:w="9033" w:type="dxa"/>
            <w:tcBorders/>
            <w:vAlign w:val="center"/>
          </w:tcPr>
          <w:p>
            <w:pPr>
              <w:pStyle w:val="TableContents"/>
              <w:bidi w:val="0"/>
              <w:spacing w:before="0" w:after="0"/>
              <w:ind w:left="0" w:right="0" w:hanging="0"/>
              <w:jc w:val="left"/>
              <w:rPr/>
            </w:pPr>
            <w:hyperlink w:anchor="Item1FINANCIALSTATEMENTS_684974">
              <w:r>
                <w:rPr>
                  <w:rStyle w:val="InternetLink"/>
                  <w:rFonts w:ascii="Times New Roman;Times;serif" w:hAnsi="Times New Roman;Times;serif"/>
                  <w:b w:val="false"/>
                  <w:i w:val="false"/>
                  <w:caps w:val="false"/>
                  <w:smallCaps w:val="false"/>
                  <w:sz w:val="20"/>
                </w:rPr>
                <w:t>Financial Statements</w:t>
              </w:r>
            </w:hyperlink>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 </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Three and Nine Months Ended July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hyperlink w:anchor="COMPREHENSIVE_INCOME">
              <w:r>
                <w:rPr>
                  <w:rStyle w:val="InternetLink"/>
                  <w:rFonts w:ascii="Times New Roman;Times;serif" w:hAnsi="Times New Roman;Times;serif"/>
                  <w:b w:val="false"/>
                  <w:i w:val="false"/>
                  <w:caps w:val="false"/>
                  <w:smallCaps w:val="false"/>
                  <w:sz w:val="20"/>
                </w:rPr>
                <w:t>Condensed Consolidated Statements of Comprehensive Income (Loss) Three and Nine Months Ended July 31, 2026 and 2025</w:t>
              </w:r>
            </w:hyperlink>
            <w:r>
              <w:rPr>
                <w:rFonts w:ascii="Times New Roman;Times;serif" w:hAnsi="Times New Roman;Times;serif"/>
                <w:sz w:val="20"/>
              </w:rPr>
              <w:t xml:space="preserve"> </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hyperlink w:anchor="CONDENSEDCONSOLIDATEDBALANCESHEETS_18796">
              <w:r>
                <w:rPr>
                  <w:rStyle w:val="InternetLink"/>
                  <w:rFonts w:ascii="Times New Roman;Times;serif" w:hAnsi="Times New Roman;Times;serif"/>
                  <w:b w:val="false"/>
                  <w:i w:val="false"/>
                  <w:caps w:val="false"/>
                  <w:smallCaps w:val="false"/>
                  <w:sz w:val="20"/>
                </w:rPr>
                <w:t>Condensed Consolidated Balance Sheets as of July 31, 2026 and October 31,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Three and Nine Months Ended July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Three and Nine Months Ended July 31, 2026 and 2025</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903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03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328250">
              <w:r>
                <w:rPr>
                  <w:rStyle w:val="InternetLink"/>
                  <w:rFonts w:ascii="Times New Roman;Times;serif" w:hAnsi="Times New Roman;Times;serif"/>
                  <w:b w:val="false"/>
                  <w:i w:val="false"/>
                  <w:caps w:val="false"/>
                  <w:smallCaps w:val="false"/>
                  <w:sz w:val="20"/>
                </w:rPr>
                <w:t>Item 4.</w:t>
              </w:r>
            </w:hyperlink>
          </w:p>
        </w:tc>
        <w:tc>
          <w:tcPr>
            <w:tcW w:w="9033" w:type="dxa"/>
            <w:tcBorders/>
            <w:vAlign w:val="center"/>
          </w:tcPr>
          <w:p>
            <w:pPr>
              <w:pStyle w:val="TableContents"/>
              <w:bidi w:val="0"/>
              <w:spacing w:before="0" w:after="0"/>
              <w:ind w:left="0" w:right="0" w:hanging="0"/>
              <w:jc w:val="left"/>
              <w:rPr/>
            </w:pPr>
            <w:hyperlink w:anchor="Item4CONTROLSANDPROCEDURES_328250">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46939">
              <w:r>
                <w:rPr>
                  <w:rStyle w:val="InternetLink"/>
                  <w:rFonts w:ascii="Times New Roman;Times;serif" w:hAnsi="Times New Roman;Times;serif"/>
                  <w:b/>
                  <w:i w:val="false"/>
                  <w:caps w:val="false"/>
                  <w:smallCaps w:val="false"/>
                  <w:sz w:val="20"/>
                </w:rPr>
                <w:t>Part II - Other Information</w:t>
              </w:r>
            </w:hyperlink>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37674">
              <w:r>
                <w:rPr>
                  <w:rStyle w:val="InternetLink"/>
                  <w:rFonts w:ascii="Times New Roman;Times;serif" w:hAnsi="Times New Roman;Times;serif"/>
                  <w:b w:val="false"/>
                  <w:i w:val="false"/>
                  <w:caps w:val="false"/>
                  <w:smallCaps w:val="false"/>
                  <w:sz w:val="20"/>
                </w:rPr>
                <w:t>Item 1.</w:t>
              </w:r>
            </w:hyperlink>
          </w:p>
        </w:tc>
        <w:tc>
          <w:tcPr>
            <w:tcW w:w="9033" w:type="dxa"/>
            <w:tcBorders/>
            <w:vAlign w:val="center"/>
          </w:tcPr>
          <w:p>
            <w:pPr>
              <w:pStyle w:val="TableContents"/>
              <w:bidi w:val="0"/>
              <w:spacing w:before="0" w:after="0"/>
              <w:ind w:left="0" w:right="0" w:hanging="0"/>
              <w:jc w:val="left"/>
              <w:rPr/>
            </w:pPr>
            <w:hyperlink w:anchor="Item1LEGALPROCEEDINGS_637674">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ARISKFACTORS_739134">
              <w:r>
                <w:rPr>
                  <w:rStyle w:val="InternetLink"/>
                  <w:rFonts w:ascii="Times New Roman;Times;serif" w:hAnsi="Times New Roman;Times;serif"/>
                  <w:b w:val="false"/>
                  <w:i w:val="false"/>
                  <w:caps w:val="false"/>
                  <w:smallCaps w:val="false"/>
                  <w:sz w:val="20"/>
                </w:rPr>
                <w:t>Item 1A.</w:t>
              </w:r>
            </w:hyperlink>
          </w:p>
        </w:tc>
        <w:tc>
          <w:tcPr>
            <w:tcW w:w="9033" w:type="dxa"/>
            <w:tcBorders/>
            <w:vAlign w:val="center"/>
          </w:tcPr>
          <w:p>
            <w:pPr>
              <w:pStyle w:val="TableContents"/>
              <w:bidi w:val="0"/>
              <w:spacing w:before="0" w:after="0"/>
              <w:ind w:left="0" w:right="0" w:hanging="0"/>
              <w:jc w:val="left"/>
              <w:rPr/>
            </w:pPr>
            <w:hyperlink w:anchor="Item1ARISKFACTORS_739134">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3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OTHERINFORMATION_636223">
              <w:r>
                <w:rPr>
                  <w:rStyle w:val="InternetLink"/>
                  <w:rFonts w:ascii="Times New Roman;Times;serif" w:hAnsi="Times New Roman;Times;serif"/>
                  <w:b w:val="false"/>
                  <w:i w:val="false"/>
                  <w:caps w:val="false"/>
                  <w:smallCaps w:val="false"/>
                  <w:sz w:val="20"/>
                </w:rPr>
                <w:t>Item 5.</w:t>
              </w:r>
            </w:hyperlink>
          </w:p>
        </w:tc>
        <w:tc>
          <w:tcPr>
            <w:tcW w:w="9033" w:type="dxa"/>
            <w:tcBorders/>
            <w:vAlign w:val="center"/>
          </w:tcPr>
          <w:p>
            <w:pPr>
              <w:pStyle w:val="TableContents"/>
              <w:bidi w:val="0"/>
              <w:spacing w:before="0" w:after="0"/>
              <w:ind w:left="0" w:right="0" w:hanging="0"/>
              <w:jc w:val="left"/>
              <w:rPr/>
            </w:pPr>
            <w:hyperlink w:anchor="Item5OTHERINFORMATION_636223">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6EXHIBITS_363969">
              <w:r>
                <w:rPr>
                  <w:rStyle w:val="InternetLink"/>
                  <w:rFonts w:ascii="Times New Roman;Times;serif" w:hAnsi="Times New Roman;Times;serif"/>
                  <w:b w:val="false"/>
                  <w:i w:val="false"/>
                  <w:caps w:val="false"/>
                  <w:smallCaps w:val="false"/>
                  <w:sz w:val="20"/>
                </w:rPr>
                <w:t>Item 6.</w:t>
              </w:r>
            </w:hyperlink>
          </w:p>
        </w:tc>
        <w:tc>
          <w:tcPr>
            <w:tcW w:w="9033" w:type="dxa"/>
            <w:tcBorders/>
            <w:vAlign w:val="center"/>
          </w:tcPr>
          <w:p>
            <w:pPr>
              <w:pStyle w:val="TableContents"/>
              <w:bidi w:val="0"/>
              <w:spacing w:before="0" w:after="0"/>
              <w:ind w:left="0" w:right="0" w:hanging="0"/>
              <w:jc w:val="left"/>
              <w:rPr/>
            </w:pPr>
            <w:hyperlink w:anchor="Item6EXHIBITS_363969">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r>
              <w:rPr/>
              <w:t> </w:t>
            </w:r>
          </w:p>
        </w:tc>
        <w:tc>
          <w:tcPr>
            <w:tcW w:w="9033"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9844" w:type="dxa"/>
            <w:gridSpan w:val="2"/>
            <w:tcBorders/>
            <w:vAlign w:val="center"/>
          </w:tcPr>
          <w:p>
            <w:pPr>
              <w:pStyle w:val="TableContents"/>
              <w:bidi w:val="0"/>
              <w:spacing w:before="0" w:after="0"/>
              <w:ind w:left="0" w:right="0" w:hanging="0"/>
              <w:jc w:val="left"/>
              <w:rPr/>
            </w:pPr>
            <w:hyperlink w:anchor="SIGNATURES_515907">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7" w:name="PARTIFINANCIALINFORMATION_814663"/>
      <w:bookmarkStart w:id="28" w:name="_430d7883_af9f_44be_b497_6ec6375bbff9"/>
      <w:bookmarkEnd w:id="27"/>
      <w:bookmarkEnd w:id="28"/>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sz w:val="20"/>
        </w:rPr>
      </w:pPr>
      <w:bookmarkStart w:id="29" w:name="Item1FINANCIALSTATEMENTS_684974"/>
      <w:bookmarkEnd w:id="29"/>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HURCO COMPANIES, INC.</w:t>
      </w:r>
    </w:p>
    <w:p>
      <w:pPr>
        <w:pStyle w:val="TextBody"/>
        <w:bidi w:val="0"/>
        <w:spacing w:before="0" w:after="0"/>
        <w:ind w:left="0" w:right="0" w:hanging="0"/>
        <w:jc w:val="center"/>
        <w:rPr>
          <w:rFonts w:ascii="Times New Roman;Times;serif" w:hAnsi="Times New Roman;Times;serif"/>
          <w:b/>
          <w:sz w:val="20"/>
        </w:rPr>
      </w:pPr>
      <w:bookmarkStart w:id="30" w:name="CONDENSEDCONSOLIDATEDSTATEMENTSOFOPERATI"/>
      <w:bookmarkEnd w:id="3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data)</w:t>
      </w:r>
    </w:p>
    <w:p>
      <w:pPr>
        <w:pStyle w:val="Normal"/>
        <w:bidi w:val="0"/>
        <w:spacing w:before="0" w:after="0"/>
        <w:jc w:val="left"/>
        <w:rPr>
          <w:sz w:val="4"/>
          <w:szCs w:val="4"/>
        </w:rPr>
      </w:pPr>
      <w:r>
        <w:rPr>
          <w:sz w:val="4"/>
          <w:szCs w:val="4"/>
        </w:rPr>
      </w:r>
      <w:bookmarkStart w:id="31" w:name="Tc_Eajgx8-uaEONMDT3IECQqg_37_0"/>
      <w:bookmarkStart w:id="32" w:name="Tc__vqGQGwLjEu04ygsRDA2Iw_36_0"/>
      <w:bookmarkStart w:id="33" w:name="Tc_PNh1KSlYhkyEaQQzCbfwzA_34_0"/>
      <w:bookmarkStart w:id="34" w:name="Tc_5YX1jowmxkKVqd4q3iRzFQ_32_11"/>
      <w:bookmarkStart w:id="35" w:name="Tc_cLmv0HbIOUOmpYRd9rf3fg_32_8"/>
      <w:bookmarkStart w:id="36" w:name="Tc_Av8ElsCYWEW8XN9dtBpFGA_32_5"/>
      <w:bookmarkStart w:id="37" w:name="Tc_L3pePoAruEK4tcJYDEO61A_32_2"/>
      <w:bookmarkStart w:id="38" w:name="Tc_KuKSn7sdbU2bjdHNXkd9TA_32_0"/>
      <w:bookmarkStart w:id="39" w:name="Tc_A2-kcgrmakCinNBfCCpNTA_31_11"/>
      <w:bookmarkStart w:id="40" w:name="Tc_-1I_lp7OW02gXUEf_BZfqw_31_8"/>
      <w:bookmarkStart w:id="41" w:name="Tc_TtUAitlInkqKuBqnbssDgg_31_5"/>
      <w:bookmarkStart w:id="42" w:name="Tc_r48P9-pUl0SXlBQcS1tY7g_31_2"/>
      <w:bookmarkStart w:id="43" w:name="Tc_M6MFqXXOIUOIIiRmsu907g_31_0"/>
      <w:bookmarkStart w:id="44" w:name="Tc_PRAEQytuEECSQ4aZz9EXQw_29_0"/>
      <w:bookmarkStart w:id="45" w:name="Tc_EOzW3C2Nh0WskW4tmJrruw_27_11"/>
      <w:bookmarkStart w:id="46" w:name="Tc_Y5KEnkcjJkuu85-PeclCMQ_27_8"/>
      <w:bookmarkStart w:id="47" w:name="Tc_4GE8-VVm6U-a3GamG9lq_g_27_5"/>
      <w:bookmarkStart w:id="48" w:name="Tc_fsC3mVfRBUq6_TsC63K7vQ_27_2"/>
      <w:bookmarkStart w:id="49" w:name="Tc_FOefj5Ql5EKD8sANiBvZLg_27_0"/>
      <w:bookmarkStart w:id="50" w:name="Tc_So37BsvazE6ML1IEp6t-Iw_25_0"/>
      <w:bookmarkStart w:id="51" w:name="Tc_Ips6Y8iQrEywMmAFUlE0wg_23_0"/>
      <w:bookmarkStart w:id="52" w:name="Tc_AKQoyWskn0usvWS0A4RA8Q_21_0"/>
      <w:bookmarkStart w:id="53" w:name="Tc_bpzP9tvWBUCBSvgUz1zzSQ_19_0"/>
      <w:bookmarkStart w:id="54" w:name="Tc_NWSiRtHKwkK3zGL1IETi-A_17_0"/>
      <w:bookmarkStart w:id="55" w:name="Tc_oZdCoMyJmkWeuWsqYy1uxQ_15_0"/>
      <w:bookmarkStart w:id="56" w:name="Tc_0TwUmC_E50Gw7uTnjlFRJA_13_0"/>
      <w:bookmarkStart w:id="57" w:name="Tc_63tNxHkYpUCwE8rXQEpCJQ_11_0"/>
      <w:bookmarkStart w:id="58" w:name="Tc_8msKIXjlaEKd6FTwlWGQkA_9_0"/>
      <w:bookmarkStart w:id="59" w:name="Tc_-OlZIax62EOWtuYp3oD9ow_7_0"/>
      <w:bookmarkStart w:id="60" w:name="Tc_b11U_bfH3U6JAN3-ihxWGw_5_11"/>
      <w:bookmarkStart w:id="61" w:name="Tc_BGPpkuUVk0-43Ted0RYbXg_5_8"/>
      <w:bookmarkStart w:id="62" w:name="Tc_4fZK-vIsUkmjlR6ODSZkLQ_5_5"/>
      <w:bookmarkStart w:id="63" w:name="Tc_l9YZvQlVmE2XHBktFWAlzg_5_2"/>
      <w:bookmarkStart w:id="64" w:name="Tc_LFMdR2quS0yj1FaE07K9yA_5_0"/>
      <w:bookmarkStart w:id="65" w:name="Tc_-quhuG027UW-Zo4H-KTskA_4_9"/>
      <w:bookmarkStart w:id="66" w:name="Tc_hsuUZQqPA0q2cB04ZMXLjQ_4_3"/>
      <w:bookmarkStart w:id="67" w:name="Tc_8diVBMuk2U69otjjmEEPHw_3_11"/>
      <w:bookmarkStart w:id="68" w:name="Tc_j0fu1lZauUijFrOIHZvZrw_3_8"/>
      <w:bookmarkStart w:id="69" w:name="Tc_Ju50MoYn20mxD8lS2JdZfw_3_5"/>
      <w:bookmarkStart w:id="70" w:name="Tc_olOngD2ZCU6EO7U6gjZAQA_3_2"/>
      <w:bookmarkStart w:id="71" w:name="Tc_p80mKLVTVUuHKdNnaKGNuQ_2_8"/>
      <w:bookmarkStart w:id="72" w:name="Tc_YK_xkOvVzkeodR04Ke1XlQ_2_2"/>
      <w:bookmarkStart w:id="73" w:name="Tc_zskLnATps0aftnCtp1GyUw_1_8"/>
      <w:bookmarkStart w:id="74" w:name="Tc_7jRdJT6_eUixTO56xjB0JQ_1_2"/>
      <w:bookmarkStart w:id="75" w:name="_8779faf6_8949_425b_99a6_7df3d26532d4"/>
      <w:bookmarkStart w:id="76" w:name="Tc_Eajgx8-uaEONMDT3IECQqg_37_0"/>
      <w:bookmarkStart w:id="77" w:name="Tc__vqGQGwLjEu04ygsRDA2Iw_36_0"/>
      <w:bookmarkStart w:id="78" w:name="Tc_PNh1KSlYhkyEaQQzCbfwzA_34_0"/>
      <w:bookmarkStart w:id="79" w:name="Tc_5YX1jowmxkKVqd4q3iRzFQ_32_11"/>
      <w:bookmarkStart w:id="80" w:name="Tc_cLmv0HbIOUOmpYRd9rf3fg_32_8"/>
      <w:bookmarkStart w:id="81" w:name="Tc_Av8ElsCYWEW8XN9dtBpFGA_32_5"/>
      <w:bookmarkStart w:id="82" w:name="Tc_L3pePoAruEK4tcJYDEO61A_32_2"/>
      <w:bookmarkStart w:id="83" w:name="Tc_KuKSn7sdbU2bjdHNXkd9TA_32_0"/>
      <w:bookmarkStart w:id="84" w:name="Tc_A2-kcgrmakCinNBfCCpNTA_31_11"/>
      <w:bookmarkStart w:id="85" w:name="Tc_-1I_lp7OW02gXUEf_BZfqw_31_8"/>
      <w:bookmarkStart w:id="86" w:name="Tc_TtUAitlInkqKuBqnbssDgg_31_5"/>
      <w:bookmarkStart w:id="87" w:name="Tc_r48P9-pUl0SXlBQcS1tY7g_31_2"/>
      <w:bookmarkStart w:id="88" w:name="Tc_M6MFqXXOIUOIIiRmsu907g_31_0"/>
      <w:bookmarkStart w:id="89" w:name="Tc_PRAEQytuEECSQ4aZz9EXQw_29_0"/>
      <w:bookmarkStart w:id="90" w:name="Tc_EOzW3C2Nh0WskW4tmJrruw_27_11"/>
      <w:bookmarkStart w:id="91" w:name="Tc_Y5KEnkcjJkuu85-PeclCMQ_27_8"/>
      <w:bookmarkStart w:id="92" w:name="Tc_4GE8-VVm6U-a3GamG9lq_g_27_5"/>
      <w:bookmarkStart w:id="93" w:name="Tc_fsC3mVfRBUq6_TsC63K7vQ_27_2"/>
      <w:bookmarkStart w:id="94" w:name="Tc_FOefj5Ql5EKD8sANiBvZLg_27_0"/>
      <w:bookmarkStart w:id="95" w:name="Tc_So37BsvazE6ML1IEp6t-Iw_25_0"/>
      <w:bookmarkStart w:id="96" w:name="Tc_Ips6Y8iQrEywMmAFUlE0wg_23_0"/>
      <w:bookmarkStart w:id="97" w:name="Tc_AKQoyWskn0usvWS0A4RA8Q_21_0"/>
      <w:bookmarkStart w:id="98" w:name="Tc_bpzP9tvWBUCBSvgUz1zzSQ_19_0"/>
      <w:bookmarkStart w:id="99" w:name="Tc_NWSiRtHKwkK3zGL1IETi-A_17_0"/>
      <w:bookmarkStart w:id="100" w:name="Tc_oZdCoMyJmkWeuWsqYy1uxQ_15_0"/>
      <w:bookmarkStart w:id="101" w:name="Tc_0TwUmC_E50Gw7uTnjlFRJA_13_0"/>
      <w:bookmarkStart w:id="102" w:name="Tc_63tNxHkYpUCwE8rXQEpCJQ_11_0"/>
      <w:bookmarkStart w:id="103" w:name="Tc_8msKIXjlaEKd6FTwlWGQkA_9_0"/>
      <w:bookmarkStart w:id="104" w:name="Tc_-OlZIax62EOWtuYp3oD9ow_7_0"/>
      <w:bookmarkStart w:id="105" w:name="Tc_b11U_bfH3U6JAN3-ihxWGw_5_11"/>
      <w:bookmarkStart w:id="106" w:name="Tc_BGPpkuUVk0-43Ted0RYbXg_5_8"/>
      <w:bookmarkStart w:id="107" w:name="Tc_4fZK-vIsUkmjlR6ODSZkLQ_5_5"/>
      <w:bookmarkStart w:id="108" w:name="Tc_l9YZvQlVmE2XHBktFWAlzg_5_2"/>
      <w:bookmarkStart w:id="109" w:name="Tc_LFMdR2quS0yj1FaE07K9yA_5_0"/>
      <w:bookmarkStart w:id="110" w:name="Tc_-quhuG027UW-Zo4H-KTskA_4_9"/>
      <w:bookmarkStart w:id="111" w:name="Tc_hsuUZQqPA0q2cB04ZMXLjQ_4_3"/>
      <w:bookmarkStart w:id="112" w:name="Tc_8diVBMuk2U69otjjmEEPHw_3_11"/>
      <w:bookmarkStart w:id="113" w:name="Tc_j0fu1lZauUijFrOIHZvZrw_3_8"/>
      <w:bookmarkStart w:id="114" w:name="Tc_Ju50MoYn20mxD8lS2JdZfw_3_5"/>
      <w:bookmarkStart w:id="115" w:name="Tc_olOngD2ZCU6EO7U6gjZAQA_3_2"/>
      <w:bookmarkStart w:id="116" w:name="Tc_p80mKLVTVUuHKdNnaKGNuQ_2_8"/>
      <w:bookmarkStart w:id="117" w:name="Tc_YK_xkOvVzkeodR04Ke1XlQ_2_2"/>
      <w:bookmarkStart w:id="118" w:name="Tc_zskLnATps0aftnCtp1GyUw_1_8"/>
      <w:bookmarkStart w:id="119" w:name="Tc_7jRdJT6_eUixTO56xjB0JQ_1_2"/>
      <w:bookmarkStart w:id="120" w:name="_8779faf6_8949_425b_99a6_7df3d26532d4"/>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tbl>
      <w:tblPr>
        <w:tblW w:w="9046" w:type="dxa"/>
        <w:jc w:val="left"/>
        <w:tblInd w:w="0" w:type="dxa"/>
        <w:tblLayout w:type="fixed"/>
        <w:tblCellMar>
          <w:top w:w="0" w:type="dxa"/>
          <w:left w:w="0" w:type="dxa"/>
          <w:bottom w:w="0" w:type="dxa"/>
          <w:right w:w="0" w:type="dxa"/>
        </w:tblCellMar>
      </w:tblPr>
      <w:tblGrid>
        <w:gridCol w:w="4066"/>
        <w:gridCol w:w="109"/>
        <w:gridCol w:w="211"/>
        <w:gridCol w:w="676"/>
        <w:gridCol w:w="346"/>
        <w:gridCol w:w="211"/>
        <w:gridCol w:w="691"/>
        <w:gridCol w:w="346"/>
        <w:gridCol w:w="211"/>
        <w:gridCol w:w="781"/>
        <w:gridCol w:w="346"/>
        <w:gridCol w:w="211"/>
        <w:gridCol w:w="84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581910" cy="175260"/>
                      <wp:effectExtent l="0" t="0" r="0" b="0"/>
                      <wp:wrapNone/>
                      <wp:docPr id="1" name="Frame1"/>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29260" cy="175260"/>
                      <wp:effectExtent l="0" t="0" r="0" b="0"/>
                      <wp:wrapNone/>
                      <wp:docPr id="4" name="Frame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8785" cy="175260"/>
                      <wp:effectExtent l="0" t="0" r="0" b="0"/>
                      <wp:wrapNone/>
                      <wp:docPr id="7" name="Frame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34035" cy="175260"/>
                      <wp:effectExtent l="0" t="0" r="0" b="0"/>
                      <wp:wrapNone/>
                      <wp:docPr id="13" name="Frame1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904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924"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179" w:type="dxa"/>
            <w:gridSpan w:val="4"/>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(unaudited)</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service fees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133,087</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and service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34,106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106,323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107,856</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31,452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25,231</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33,127</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32,041</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(6,810)</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before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(8,950)</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3,126</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common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40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bl>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1" w:name="_f821391e_300e_4972_93d4_75e8857967db"/>
      <w:bookmarkEnd w:id="121"/>
      <w:r>
        <w:rPr>
          <w:rFonts w:ascii="Times New Roman;Times;serif" w:hAnsi="Times New Roman;Times;serif"/>
          <w:b/>
          <w:sz w:val="20"/>
        </w:rPr>
        <w:t>HURCO COMPANIES, INC.</w:t>
      </w:r>
    </w:p>
    <w:p>
      <w:pPr>
        <w:pStyle w:val="TextBody"/>
        <w:bidi w:val="0"/>
        <w:spacing w:before="0" w:after="0"/>
        <w:ind w:left="0" w:right="0" w:hanging="0"/>
        <w:jc w:val="center"/>
        <w:rPr>
          <w:rFonts w:ascii="Times New Roman;Times;serif" w:hAnsi="Times New Roman;Times;serif"/>
          <w:b/>
          <w:sz w:val="20"/>
        </w:rPr>
      </w:pPr>
      <w:bookmarkStart w:id="122" w:name="COMPREHENSIVE_INCOME"/>
      <w:bookmarkEnd w:id="122"/>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3" w:name="Tc_2CflrcNUDUqcqbdcJ6RQhA_18_11"/>
      <w:bookmarkStart w:id="124" w:name="Tc_NGNOsx7ESU6Ez-btf34z8w_18_8"/>
      <w:bookmarkStart w:id="125" w:name="Tc_k6fcHAoOdkei5pSJ2-wLwA_18_5"/>
      <w:bookmarkStart w:id="126" w:name="Tc_A1Ep4xyRVUaf_-aRNlmpSg_18_2"/>
      <w:bookmarkStart w:id="127" w:name="Tc_okyPzfZAYkS7hDQ-sgbVoQ_18_0"/>
      <w:bookmarkStart w:id="128" w:name="Tc_wVvXM10iQUmuBhL33rHPiA_16_0"/>
      <w:bookmarkStart w:id="129" w:name="Tc_QooVaWKFCEuNGW3cZ_Dahg_13_0"/>
      <w:bookmarkStart w:id="130" w:name="Tc_CTu8_M6YUkGEe_ruyV-D_g_11_0"/>
      <w:bookmarkStart w:id="131" w:name="Tc_llqcE6e2Q0yB6wyR3tZk8A_9_0"/>
      <w:bookmarkStart w:id="132" w:name="Tc_TCDO0Itk9EG8dvSQDHtKKw_7_0"/>
      <w:bookmarkStart w:id="133" w:name="Tc_AAJT4JWF00iE9LeeK6nerg_5_11"/>
      <w:bookmarkStart w:id="134" w:name="Tc_fRYUH3DPLEqdmKU7cWQaRg_5_8"/>
      <w:bookmarkStart w:id="135" w:name="Tc_9UFJJZhkcUqvqFINOpn3Mg_5_5"/>
      <w:bookmarkStart w:id="136" w:name="Tc_hXZk0tNHek2rMcOJtwshmg_5_2"/>
      <w:bookmarkStart w:id="137" w:name="Tc_yW5ilAZX1E-tyonmtvk8dg_5_0"/>
      <w:bookmarkStart w:id="138" w:name="Tc_i-P3CRmKVkSammjwv9nVew_4_9"/>
      <w:bookmarkStart w:id="139" w:name="Tc_wRLh90novUKZvC-nMIGAVw_4_3"/>
      <w:bookmarkStart w:id="140" w:name="Tc_7DUEYk-rB0eSIHRQY8NVOA_3_11"/>
      <w:bookmarkStart w:id="141" w:name="Tc_BY3do_VEykSCjKQDVSPBZg_3_8"/>
      <w:bookmarkStart w:id="142" w:name="Tc_iUSkkZMlaEChp0z07Ofz8w_3_5"/>
      <w:bookmarkStart w:id="143" w:name="Tc_e-F22JMqLkGrbCqlzcS-Vw_3_2"/>
      <w:bookmarkStart w:id="144" w:name="Tc_CJEAF8VEIEudfGmHImfeQg_2_8"/>
      <w:bookmarkStart w:id="145" w:name="Tc_HBfWUzR5QkS3PyJAa_CX6Q_2_2"/>
      <w:bookmarkStart w:id="146" w:name="Tc_34X11ck9j0qF9BmTtoNJCQ_1_8"/>
      <w:bookmarkStart w:id="147" w:name="Tc_DYCRs4nfQku8-y0OzQ-CSw_1_2"/>
      <w:bookmarkStart w:id="148" w:name="_cf1d2a51_51a9_4dd2_9373_bebc6e2d4731"/>
      <w:bookmarkStart w:id="149" w:name="Tc_2CflrcNUDUqcqbdcJ6RQhA_18_11"/>
      <w:bookmarkStart w:id="150" w:name="Tc_NGNOsx7ESU6Ez-btf34z8w_18_8"/>
      <w:bookmarkStart w:id="151" w:name="Tc_k6fcHAoOdkei5pSJ2-wLwA_18_5"/>
      <w:bookmarkStart w:id="152" w:name="Tc_A1Ep4xyRVUaf_-aRNlmpSg_18_2"/>
      <w:bookmarkStart w:id="153" w:name="Tc_okyPzfZAYkS7hDQ-sgbVoQ_18_0"/>
      <w:bookmarkStart w:id="154" w:name="Tc_wVvXM10iQUmuBhL33rHPiA_16_0"/>
      <w:bookmarkStart w:id="155" w:name="Tc_QooVaWKFCEuNGW3cZ_Dahg_13_0"/>
      <w:bookmarkStart w:id="156" w:name="Tc_CTu8_M6YUkGEe_ruyV-D_g_11_0"/>
      <w:bookmarkStart w:id="157" w:name="Tc_llqcE6e2Q0yB6wyR3tZk8A_9_0"/>
      <w:bookmarkStart w:id="158" w:name="Tc_TCDO0Itk9EG8dvSQDHtKKw_7_0"/>
      <w:bookmarkStart w:id="159" w:name="Tc_AAJT4JWF00iE9LeeK6nerg_5_11"/>
      <w:bookmarkStart w:id="160" w:name="Tc_fRYUH3DPLEqdmKU7cWQaRg_5_8"/>
      <w:bookmarkStart w:id="161" w:name="Tc_9UFJJZhkcUqvqFINOpn3Mg_5_5"/>
      <w:bookmarkStart w:id="162" w:name="Tc_hXZk0tNHek2rMcOJtwshmg_5_2"/>
      <w:bookmarkStart w:id="163" w:name="Tc_yW5ilAZX1E-tyonmtvk8dg_5_0"/>
      <w:bookmarkStart w:id="164" w:name="Tc_i-P3CRmKVkSammjwv9nVew_4_9"/>
      <w:bookmarkStart w:id="165" w:name="Tc_wRLh90novUKZvC-nMIGAVw_4_3"/>
      <w:bookmarkStart w:id="166" w:name="Tc_7DUEYk-rB0eSIHRQY8NVOA_3_11"/>
      <w:bookmarkStart w:id="167" w:name="Tc_BY3do_VEykSCjKQDVSPBZg_3_8"/>
      <w:bookmarkStart w:id="168" w:name="Tc_iUSkkZMlaEChp0z07Ofz8w_3_5"/>
      <w:bookmarkStart w:id="169" w:name="Tc_e-F22JMqLkGrbCqlzcS-Vw_3_2"/>
      <w:bookmarkStart w:id="170" w:name="Tc_CJEAF8VEIEudfGmHImfeQg_2_8"/>
      <w:bookmarkStart w:id="171" w:name="Tc_HBfWUzR5QkS3PyJAa_CX6Q_2_2"/>
      <w:bookmarkStart w:id="172" w:name="Tc_34X11ck9j0qF9BmTtoNJCQ_1_8"/>
      <w:bookmarkStart w:id="173" w:name="Tc_DYCRs4nfQku8-y0OzQ-CSw_1_2"/>
      <w:bookmarkStart w:id="174" w:name="_cf1d2a51_51a9_4dd2_9373_bebc6e2d4731"/>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W w:w="10205" w:type="dxa"/>
        <w:jc w:val="left"/>
        <w:tblInd w:w="0" w:type="dxa"/>
        <w:tblLayout w:type="fixed"/>
        <w:tblCellMar>
          <w:top w:w="0" w:type="dxa"/>
          <w:left w:w="0" w:type="dxa"/>
          <w:bottom w:w="0" w:type="dxa"/>
          <w:right w:w="0" w:type="dxa"/>
        </w:tblCellMar>
      </w:tblPr>
      <w:tblGrid>
        <w:gridCol w:w="5209"/>
        <w:gridCol w:w="346"/>
        <w:gridCol w:w="211"/>
        <w:gridCol w:w="654"/>
        <w:gridCol w:w="346"/>
        <w:gridCol w:w="211"/>
        <w:gridCol w:w="654"/>
        <w:gridCol w:w="346"/>
        <w:gridCol w:w="211"/>
        <w:gridCol w:w="654"/>
        <w:gridCol w:w="346"/>
        <w:gridCol w:w="211"/>
        <w:gridCol w:w="806"/>
      </w:tblGrid>
      <w:tr>
        <w:trPr/>
        <w:tc>
          <w:tcPr>
            <w:tcW w:w="5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307715" cy="175260"/>
                      <wp:effectExtent l="0" t="0" r="0" b="0"/>
                      <wp:wrapNone/>
                      <wp:docPr id="14" name="Frame14"/>
                      <a:graphic xmlns:a="http://schemas.openxmlformats.org/drawingml/2006/main">
                        <a:graphicData uri="http://schemas.microsoft.com/office/word/2010/wordprocessingShape">
                          <wps:wsp>
                            <wps:cNvSpPr txBox="1"/>
                            <wps:spPr>
                              <a:xfrm>
                                <a:off x="0" y="0"/>
                                <a:ext cx="3307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15290" cy="175260"/>
                      <wp:effectExtent l="0" t="0" r="0" b="0"/>
                      <wp:wrapNone/>
                      <wp:docPr id="17" name="Frame17"/>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5290" cy="175260"/>
                      <wp:effectExtent l="0" t="0" r="0" b="0"/>
                      <wp:wrapNone/>
                      <wp:docPr id="20" name="Frame20"/>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5290" cy="175260"/>
                      <wp:effectExtent l="0" t="0" r="0" b="0"/>
                      <wp:wrapNone/>
                      <wp:docPr id="23" name="Frame23"/>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11810" cy="175260"/>
                      <wp:effectExtent l="0" t="0" r="0" b="0"/>
                      <wp:wrapNone/>
                      <wp:docPr id="26" name="Frame26"/>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22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0"/>
              <w:ind w:left="0" w:right="0" w:hanging="0"/>
              <w:jc w:val="left"/>
              <w:rPr/>
            </w:pPr>
            <w:r>
              <w:rPr/>
              <w:t>​</w:t>
            </w:r>
          </w:p>
        </w:tc>
        <w:tc>
          <w:tcPr>
            <w:tcW w:w="22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0"/>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5"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017"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tc>
      </w:tr>
      <w:tr>
        <w:trPr/>
        <w:tc>
          <w:tcPr>
            <w:tcW w:w="5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r>
      <w:tr>
        <w:trPr/>
        <w:tc>
          <w:tcPr>
            <w:tcW w:w="5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r>
      <w:tr>
        <w:trPr/>
        <w:tc>
          <w:tcPr>
            <w:tcW w:w="5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Translation (loss) gain of foreign currency financial statements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(2,901)</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8,129</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r>
      <w:tr>
        <w:trPr/>
        <w:tc>
          <w:tcPr>
            <w:tcW w:w="5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 loss on derivative instruments reclassified into operations, net of tax (expense) / benefit of $10, $91, $108 and $333,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left"/>
              <w:rPr/>
            </w:pPr>
            <w:r>
              <w:rPr/>
              <w:t>​</w:t>
            </w:r>
          </w:p>
        </w:tc>
      </w:tr>
      <w:tr>
        <w:trPr/>
        <w:tc>
          <w:tcPr>
            <w:tcW w:w="52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 (loss) on derivative instruments, net of tax expense / (benefit) of ($38), $163, ($314) and $11,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52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r>
      <w:tr>
        <w:trPr/>
        <w:tc>
          <w:tcPr>
            <w:tcW w:w="5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9,277</w:t>
            </w:r>
          </w:p>
        </w:tc>
      </w:tr>
      <w:tr>
        <w:trPr/>
        <w:tc>
          <w:tcPr>
            <w:tcW w:w="520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75" w:name="_24fce980_61c0_43e1_bb60_24ae88e51154"/>
      <w:bookmarkEnd w:id="175"/>
      <w:r>
        <w:rPr>
          <w:rFonts w:ascii="Times New Roman;Times;serif" w:hAnsi="Times New Roman;Times;serif"/>
          <w:b/>
          <w:sz w:val="18"/>
        </w:rPr>
        <w:t>HURCO COMPANIES, INC.</w:t>
      </w:r>
    </w:p>
    <w:p>
      <w:pPr>
        <w:pStyle w:val="TextBody"/>
        <w:bidi w:val="0"/>
        <w:spacing w:before="0" w:after="0"/>
        <w:ind w:left="0" w:right="0" w:hanging="0"/>
        <w:jc w:val="center"/>
        <w:rPr>
          <w:rFonts w:ascii="Times New Roman;Times;serif" w:hAnsi="Times New Roman;Times;serif"/>
          <w:b/>
          <w:sz w:val="18"/>
        </w:rPr>
      </w:pPr>
      <w:bookmarkStart w:id="176" w:name="CONDENSEDCONSOLIDATEDBALANCESHEETS_18796"/>
      <w:bookmarkEnd w:id="176"/>
      <w:r>
        <w:rPr>
          <w:rFonts w:ascii="Times New Roman;Times;serif" w:hAnsi="Times New Roman;Times;serif"/>
          <w:b/>
          <w:sz w:val="18"/>
        </w:rPr>
        <w:t>CONDENSED CONSOLIDATED BALANCE SHEETS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and per share data)</w:t>
      </w:r>
    </w:p>
    <w:p>
      <w:pPr>
        <w:pStyle w:val="Normal"/>
        <w:bidi w:val="0"/>
        <w:spacing w:before="0" w:after="0"/>
        <w:jc w:val="left"/>
        <w:rPr>
          <w:sz w:val="4"/>
          <w:szCs w:val="4"/>
        </w:rPr>
      </w:pPr>
      <w:r>
        <w:rPr>
          <w:sz w:val="4"/>
          <w:szCs w:val="4"/>
        </w:rPr>
      </w:r>
      <w:bookmarkStart w:id="177" w:name="Tc_0UrzWb9dH0m2aw7i7JMF8g_52_5"/>
      <w:bookmarkStart w:id="178" w:name="Tc_Qalqwk6wqEC7TOSGwWCiPA_52_2"/>
      <w:bookmarkStart w:id="179" w:name="Tc_XTmI7IHvhkOfSjjCvlMIEQ_52_0"/>
      <w:bookmarkStart w:id="180" w:name="Tc_MyJdWqaSdkeD1UzamNVBMA_51_0"/>
      <w:bookmarkStart w:id="181" w:name="Tc_6wks0NBCckKRXZZejfm5ng_50_0"/>
      <w:bookmarkStart w:id="182" w:name="Tc_lxKR3ra_gESv0jFHQEIhhA_49_0"/>
      <w:bookmarkStart w:id="183" w:name="Tc_x2kPmQnNkUagbMkr3hfsqA_48_0"/>
      <w:bookmarkStart w:id="184" w:name="Tc_-du6X3TPc0eqqaDWc304CQ_47_0"/>
      <w:bookmarkStart w:id="185" w:name="Tc_UhJmjDXtREGynv06nZAF-w_46_0"/>
      <w:bookmarkStart w:id="186" w:name="Tc_wOH572CsY02aV9TD1KREeg_45_0"/>
      <w:bookmarkStart w:id="187" w:name="Tc_mzEjW0Cph0G9vSxi1m8gig_44_0"/>
      <w:bookmarkStart w:id="188" w:name="Tc_fxZoQAD6XEiVoEiaHRGfcQ_43_0"/>
      <w:bookmarkStart w:id="189" w:name="Tc_tGvDo6gzPkWGRabl_PTd-w_42_0"/>
      <w:bookmarkStart w:id="190" w:name="Tc_59_bvj7ZzkCI2LpiyDpMzw_41_0"/>
      <w:bookmarkStart w:id="191" w:name="Tc_g6LTkzcAokW7ZomaFWm4qw_40_0"/>
      <w:bookmarkStart w:id="192" w:name="Tc_iq7OExSpUEGmuK2xoJX4BQ_39_0"/>
      <w:bookmarkStart w:id="193" w:name="Tc_Wjnthod7mkCZvDPjNq0Xzg_38_0"/>
      <w:bookmarkStart w:id="194" w:name="Tc_eWAHNHdSE0ObX9uhOkfbXA_37_0"/>
      <w:bookmarkStart w:id="195" w:name="Tc_vuJn_mhUlkqJdH6yOic3Fg_36_0"/>
      <w:bookmarkStart w:id="196" w:name="Tc_F-C3UjyazECb_52NJ_XQOQ_35_0"/>
      <w:bookmarkStart w:id="197" w:name="Tc_ReYBB5ZeUU6KHAK0WYlrCw_34_0"/>
      <w:bookmarkStart w:id="198" w:name="Tc_AfPY23yK30OwDZ8Eeb_AgQ_33_0"/>
      <w:bookmarkStart w:id="199" w:name="Tc_hm9_GMRsIkmvHnc5kgrDBA_32_0"/>
      <w:bookmarkStart w:id="200" w:name="Tc_kRXH86cNZkSwnMlFWbVGtA_31_0"/>
      <w:bookmarkStart w:id="201" w:name="Tc_ujsK04ahrkKVbsQaTVDs7Q_30_5"/>
      <w:bookmarkStart w:id="202" w:name="Tc_NjxIYHD8wk2GAzjGvpVfCA_30_2"/>
      <w:bookmarkStart w:id="203" w:name="Tc_LGb_Fk55GE2PPVIx2wWg5g_30_0"/>
      <w:bookmarkStart w:id="204" w:name="Tc__peh7s2eIUK-g2n8dNvtmA_29_0"/>
      <w:bookmarkStart w:id="205" w:name="Tc_zzj1EM42MkifKokDK48hrA_28_0"/>
      <w:bookmarkStart w:id="206" w:name="Tc_McIkBz1fD0OiMOT6ygtf_Q_27_5"/>
      <w:bookmarkStart w:id="207" w:name="Tc_MVkCQ6MiOE6ZRcHj9nBQlA_27_2"/>
      <w:bookmarkStart w:id="208" w:name="Tc_SFB82Opl8ESyifjguyfsEw_27_0"/>
      <w:bookmarkStart w:id="209" w:name="Tc__QnWDBuNRk-XA-VCRFUcPQ_26_0"/>
      <w:bookmarkStart w:id="210" w:name="Tc_o-UmkjIKxk2NB0ShITMZAw_25_0"/>
      <w:bookmarkStart w:id="211" w:name="Tc_rvRPimOsNUelSBvdtfgBgg_24_0"/>
      <w:bookmarkStart w:id="212" w:name="Tc_ehaeB-oKnkSNXGCk0yNiPA_23_0"/>
      <w:bookmarkStart w:id="213" w:name="Tc_cYHBq9FFxEaW3RMR9mApkw_22_0"/>
      <w:bookmarkStart w:id="214" w:name="Tc_amgSap5o0UacikbVJl3bCg_21_0"/>
      <w:bookmarkStart w:id="215" w:name="Tc_3vbrOpd0zUCE3ttrydvfBw_20_0"/>
      <w:bookmarkStart w:id="216" w:name="Tc_bLEv7BLg_0q4hv8mUvnRtw_19_0"/>
      <w:bookmarkStart w:id="217" w:name="Tc_LjpycRKlMkOS6YUaaGxvqQ_18_0"/>
      <w:bookmarkStart w:id="218" w:name="Tc_03KIpM674kuJF9O3EL-n2w_17_0"/>
      <w:bookmarkStart w:id="219" w:name="Tc_IUhCMH2k0kmKTmT8aOmkug_15_0"/>
      <w:bookmarkStart w:id="220" w:name="Tc_HkH0c7A5qEOoYAvE3uHz2Q_14_0"/>
      <w:bookmarkStart w:id="221" w:name="Tc_QnBybzfEsECl423VXHvw8A_13_0"/>
      <w:bookmarkStart w:id="222" w:name="Tc_z2ymibRoREyCPB_4QyeTOw_12_0"/>
      <w:bookmarkStart w:id="223" w:name="Tc_CioUTSDQjUKYJ_Mu4nXzIw_11_0"/>
      <w:bookmarkStart w:id="224" w:name="Tc_f1xpDfuKPUaTGjLnNyYaBg_10_0"/>
      <w:bookmarkStart w:id="225" w:name="Tc_mlS-MrsCrEi2aSfNrOzfuQ_9_0"/>
      <w:bookmarkStart w:id="226" w:name="Tc_cnevOuX2GUSnSeV2J_QYZA_8_0"/>
      <w:bookmarkStart w:id="227" w:name="Tc_b-OD7H57rUGLu8DHNBUT2g_7_0"/>
      <w:bookmarkStart w:id="228" w:name="Tc_cl1yrw5jOkiOxSbETGf-_w_6_0"/>
      <w:bookmarkStart w:id="229" w:name="Tc_xxWbexN67EC_SapguaDfuA_5_5"/>
      <w:bookmarkStart w:id="230" w:name="Tc_ZEj_zFD5xEuzwaw3u3xZkw_5_2"/>
      <w:bookmarkStart w:id="231" w:name="Tc_t6zgfnPKTUyWS2V8nUhhYQ_5_0"/>
      <w:bookmarkStart w:id="232" w:name="Tc_oWwiogp5bUGvkxZBZYw9nw_4_0"/>
      <w:bookmarkStart w:id="233" w:name="Tc_joWgddEINkG_kvxbR0SOCA_3_2"/>
      <w:bookmarkStart w:id="234" w:name="Tc_zbW3y63zo0GpjyDlLO4NWg_3_0"/>
      <w:bookmarkStart w:id="235" w:name="Tc_D1yNCiHz5EKoQHIVhW_KOA_2_5"/>
      <w:bookmarkStart w:id="236" w:name="Tc_s7dUmkEVzU6zIOuaj7Zm5w_2_2"/>
      <w:bookmarkStart w:id="237" w:name="Tc_wml5TnexxE2Gpb78DdfIZg_1_5"/>
      <w:bookmarkStart w:id="238" w:name="Tc_jv115Zps80q7WhIDaagCrA_1_2"/>
      <w:bookmarkStart w:id="239" w:name="_44b00bb5_584c_43e1_b608_7e753ef39cad"/>
      <w:bookmarkStart w:id="240" w:name="Tc_0UrzWb9dH0m2aw7i7JMF8g_52_5"/>
      <w:bookmarkStart w:id="241" w:name="Tc_Qalqwk6wqEC7TOSGwWCiPA_52_2"/>
      <w:bookmarkStart w:id="242" w:name="Tc_XTmI7IHvhkOfSjjCvlMIEQ_52_0"/>
      <w:bookmarkStart w:id="243" w:name="Tc_MyJdWqaSdkeD1UzamNVBMA_51_0"/>
      <w:bookmarkStart w:id="244" w:name="Tc_6wks0NBCckKRXZZejfm5ng_50_0"/>
      <w:bookmarkStart w:id="245" w:name="Tc_lxKR3ra_gESv0jFHQEIhhA_49_0"/>
      <w:bookmarkStart w:id="246" w:name="Tc_x2kPmQnNkUagbMkr3hfsqA_48_0"/>
      <w:bookmarkStart w:id="247" w:name="Tc_-du6X3TPc0eqqaDWc304CQ_47_0"/>
      <w:bookmarkStart w:id="248" w:name="Tc_UhJmjDXtREGynv06nZAF-w_46_0"/>
      <w:bookmarkStart w:id="249" w:name="Tc_wOH572CsY02aV9TD1KREeg_45_0"/>
      <w:bookmarkStart w:id="250" w:name="Tc_mzEjW0Cph0G9vSxi1m8gig_44_0"/>
      <w:bookmarkStart w:id="251" w:name="Tc_fxZoQAD6XEiVoEiaHRGfcQ_43_0"/>
      <w:bookmarkStart w:id="252" w:name="Tc_tGvDo6gzPkWGRabl_PTd-w_42_0"/>
      <w:bookmarkStart w:id="253" w:name="Tc_59_bvj7ZzkCI2LpiyDpMzw_41_0"/>
      <w:bookmarkStart w:id="254" w:name="Tc_g6LTkzcAokW7ZomaFWm4qw_40_0"/>
      <w:bookmarkStart w:id="255" w:name="Tc_iq7OExSpUEGmuK2xoJX4BQ_39_0"/>
      <w:bookmarkStart w:id="256" w:name="Tc_Wjnthod7mkCZvDPjNq0Xzg_38_0"/>
      <w:bookmarkStart w:id="257" w:name="Tc_eWAHNHdSE0ObX9uhOkfbXA_37_0"/>
      <w:bookmarkStart w:id="258" w:name="Tc_vuJn_mhUlkqJdH6yOic3Fg_36_0"/>
      <w:bookmarkStart w:id="259" w:name="Tc_F-C3UjyazECb_52NJ_XQOQ_35_0"/>
      <w:bookmarkStart w:id="260" w:name="Tc_ReYBB5ZeUU6KHAK0WYlrCw_34_0"/>
      <w:bookmarkStart w:id="261" w:name="Tc_AfPY23yK30OwDZ8Eeb_AgQ_33_0"/>
      <w:bookmarkStart w:id="262" w:name="Tc_hm9_GMRsIkmvHnc5kgrDBA_32_0"/>
      <w:bookmarkStart w:id="263" w:name="Tc_kRXH86cNZkSwnMlFWbVGtA_31_0"/>
      <w:bookmarkStart w:id="264" w:name="Tc_ujsK04ahrkKVbsQaTVDs7Q_30_5"/>
      <w:bookmarkStart w:id="265" w:name="Tc_NjxIYHD8wk2GAzjGvpVfCA_30_2"/>
      <w:bookmarkStart w:id="266" w:name="Tc_LGb_Fk55GE2PPVIx2wWg5g_30_0"/>
      <w:bookmarkStart w:id="267" w:name="Tc__peh7s2eIUK-g2n8dNvtmA_29_0"/>
      <w:bookmarkStart w:id="268" w:name="Tc_zzj1EM42MkifKokDK48hrA_28_0"/>
      <w:bookmarkStart w:id="269" w:name="Tc_McIkBz1fD0OiMOT6ygtf_Q_27_5"/>
      <w:bookmarkStart w:id="270" w:name="Tc_MVkCQ6MiOE6ZRcHj9nBQlA_27_2"/>
      <w:bookmarkStart w:id="271" w:name="Tc_SFB82Opl8ESyifjguyfsEw_27_0"/>
      <w:bookmarkStart w:id="272" w:name="Tc__QnWDBuNRk-XA-VCRFUcPQ_26_0"/>
      <w:bookmarkStart w:id="273" w:name="Tc_o-UmkjIKxk2NB0ShITMZAw_25_0"/>
      <w:bookmarkStart w:id="274" w:name="Tc_rvRPimOsNUelSBvdtfgBgg_24_0"/>
      <w:bookmarkStart w:id="275" w:name="Tc_ehaeB-oKnkSNXGCk0yNiPA_23_0"/>
      <w:bookmarkStart w:id="276" w:name="Tc_cYHBq9FFxEaW3RMR9mApkw_22_0"/>
      <w:bookmarkStart w:id="277" w:name="Tc_amgSap5o0UacikbVJl3bCg_21_0"/>
      <w:bookmarkStart w:id="278" w:name="Tc_3vbrOpd0zUCE3ttrydvfBw_20_0"/>
      <w:bookmarkStart w:id="279" w:name="Tc_bLEv7BLg_0q4hv8mUvnRtw_19_0"/>
      <w:bookmarkStart w:id="280" w:name="Tc_LjpycRKlMkOS6YUaaGxvqQ_18_0"/>
      <w:bookmarkStart w:id="281" w:name="Tc_03KIpM674kuJF9O3EL-n2w_17_0"/>
      <w:bookmarkStart w:id="282" w:name="Tc_IUhCMH2k0kmKTmT8aOmkug_15_0"/>
      <w:bookmarkStart w:id="283" w:name="Tc_HkH0c7A5qEOoYAvE3uHz2Q_14_0"/>
      <w:bookmarkStart w:id="284" w:name="Tc_QnBybzfEsECl423VXHvw8A_13_0"/>
      <w:bookmarkStart w:id="285" w:name="Tc_z2ymibRoREyCPB_4QyeTOw_12_0"/>
      <w:bookmarkStart w:id="286" w:name="Tc_CioUTSDQjUKYJ_Mu4nXzIw_11_0"/>
      <w:bookmarkStart w:id="287" w:name="Tc_f1xpDfuKPUaTGjLnNyYaBg_10_0"/>
      <w:bookmarkStart w:id="288" w:name="Tc_mlS-MrsCrEi2aSfNrOzfuQ_9_0"/>
      <w:bookmarkStart w:id="289" w:name="Tc_cnevOuX2GUSnSeV2J_QYZA_8_0"/>
      <w:bookmarkStart w:id="290" w:name="Tc_b-OD7H57rUGLu8DHNBUT2g_7_0"/>
      <w:bookmarkStart w:id="291" w:name="Tc_cl1yrw5jOkiOxSbETGf-_w_6_0"/>
      <w:bookmarkStart w:id="292" w:name="Tc_xxWbexN67EC_SapguaDfuA_5_5"/>
      <w:bookmarkStart w:id="293" w:name="Tc_ZEj_zFD5xEuzwaw3u3xZkw_5_2"/>
      <w:bookmarkStart w:id="294" w:name="Tc_t6zgfnPKTUyWS2V8nUhhYQ_5_0"/>
      <w:bookmarkStart w:id="295" w:name="Tc_oWwiogp5bUGvkxZBZYw9nw_4_0"/>
      <w:bookmarkStart w:id="296" w:name="Tc_joWgddEINkG_kvxbR0SOCA_3_2"/>
      <w:bookmarkStart w:id="297" w:name="Tc_zbW3y63zo0GpjyDlLO4NWg_3_0"/>
      <w:bookmarkStart w:id="298" w:name="Tc_D1yNCiHz5EKoQHIVhW_KOA_2_5"/>
      <w:bookmarkStart w:id="299" w:name="Tc_s7dUmkEVzU6zIOuaj7Zm5w_2_2"/>
      <w:bookmarkStart w:id="300" w:name="Tc_wml5TnexxE2Gpb78DdfIZg_1_5"/>
      <w:bookmarkStart w:id="301" w:name="Tc_jv115Zps80q7WhIDaagCrA_1_2"/>
      <w:bookmarkStart w:id="302" w:name="_44b00bb5_584c_43e1_b608_7e753ef39cad"/>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7601"/>
        <w:gridCol w:w="346"/>
        <w:gridCol w:w="196"/>
        <w:gridCol w:w="703"/>
        <w:gridCol w:w="346"/>
        <w:gridCol w:w="212"/>
        <w:gridCol w:w="801"/>
      </w:tblGrid>
      <w:tr>
        <w:trPr/>
        <w:tc>
          <w:tcPr>
            <w:tcW w:w="7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826635" cy="175260"/>
                      <wp:effectExtent l="0" t="0" r="0" b="0"/>
                      <wp:wrapNone/>
                      <wp:docPr id="27" name="Frame27"/>
                      <a:graphic xmlns:a="http://schemas.openxmlformats.org/drawingml/2006/main">
                        <a:graphicData uri="http://schemas.microsoft.com/office/word/2010/wordprocessingShape">
                          <wps:wsp>
                            <wps:cNvSpPr txBox="1"/>
                            <wps:spPr>
                              <a:xfrm>
                                <a:off x="0" y="0"/>
                                <a:ext cx="482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46405" cy="175260"/>
                      <wp:effectExtent l="0" t="0" r="0" b="0"/>
                      <wp:wrapNone/>
                      <wp:docPr id="30" name="Frame3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4620" cy="175260"/>
                      <wp:effectExtent l="0" t="0" r="0" b="0"/>
                      <wp:wrapNone/>
                      <wp:docPr id="32" name="Frame3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08635" cy="175260"/>
                      <wp:effectExtent l="0" t="0" r="0" b="0"/>
                      <wp:wrapNone/>
                      <wp:docPr id="33" name="Frame3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9" w:type="dxa"/>
            <w:gridSpan w:val="2"/>
            <w:tcBorders/>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July 31, </w:t>
            </w:r>
          </w:p>
        </w:tc>
        <w:tc>
          <w:tcPr>
            <w:tcW w:w="346" w:type="dxa"/>
            <w:tcBorders/>
            <w:vAlign w:val="center"/>
          </w:tcPr>
          <w:p>
            <w:pPr>
              <w:pStyle w:val="TableContents"/>
              <w:bidi w:val="0"/>
              <w:spacing w:before="0" w:after="1"/>
              <w:ind w:left="0" w:right="0" w:hanging="0"/>
              <w:jc w:val="left"/>
              <w:rPr/>
            </w:pPr>
            <w:r>
              <w:rPr/>
              <w:t>​</w:t>
            </w:r>
          </w:p>
        </w:tc>
        <w:tc>
          <w:tcPr>
            <w:tcW w:w="1013" w:type="dxa"/>
            <w:gridSpan w:val="2"/>
            <w:tcBorders/>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October 31, </w:t>
            </w:r>
          </w:p>
        </w:tc>
      </w:tr>
      <w:tr>
        <w:trPr/>
        <w:tc>
          <w:tcPr>
            <w:tcW w:w="7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346" w:type="dxa"/>
            <w:tcBorders/>
            <w:vAlign w:val="center"/>
          </w:tcPr>
          <w:p>
            <w:pPr>
              <w:pStyle w:val="TableContents"/>
              <w:bidi w:val="0"/>
              <w:spacing w:before="0" w:after="1"/>
              <w:ind w:left="0" w:right="0" w:hanging="0"/>
              <w:jc w:val="left"/>
              <w:rPr/>
            </w:pPr>
            <w:r>
              <w:rPr/>
              <w:t>  ​ ​ ​</w:t>
            </w:r>
          </w:p>
        </w:tc>
        <w:tc>
          <w:tcPr>
            <w:tcW w:w="10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r>
      <w:tr>
        <w:trPr/>
        <w:tc>
          <w:tcPr>
            <w:tcW w:w="7601" w:type="dxa"/>
            <w:tcBorders/>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ASSETS</w:t>
            </w:r>
          </w:p>
        </w:tc>
        <w:tc>
          <w:tcPr>
            <w:tcW w:w="346" w:type="dxa"/>
            <w:tcBorders/>
            <w:vAlign w:val="center"/>
          </w:tcPr>
          <w:p>
            <w:pPr>
              <w:pStyle w:val="TableContents"/>
              <w:bidi w:val="0"/>
              <w:spacing w:before="0" w:after="1"/>
              <w:ind w:left="0" w:right="0" w:hanging="0"/>
              <w:jc w:val="left"/>
              <w:rPr/>
            </w:pPr>
            <w:r>
              <w:rPr/>
              <w:t>​</w:t>
            </w:r>
          </w:p>
        </w:tc>
        <w:tc>
          <w:tcPr>
            <w:tcW w:w="899" w:type="dxa"/>
            <w:gridSpan w:val="2"/>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(unaudited)</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center"/>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  ​</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and cash equivalents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52,087</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48,713</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26,845</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27,928</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136,616</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142,931</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Derivative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251</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263</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Prepaid and 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6,905</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5,243</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222,704</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225,078</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Land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1,046</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1,046</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Building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7,381</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7,381</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Machinery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23,993</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26,061</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Leasehold improvements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4,273</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4,569</w:t>
            </w:r>
          </w:p>
        </w:tc>
      </w:tr>
      <w:tr>
        <w:trPr/>
        <w:tc>
          <w:tcPr>
            <w:tcW w:w="7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36,693</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39,057</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Less accumulated 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(29,536)</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(31,083)</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7,157</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7,974</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Non–current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Software development costs, less accumulated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9,393</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8,090</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346</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627</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 right of use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9,455</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11,560</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744</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794</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9,037</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9,005</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1,184</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1,170</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30,159</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31,246</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260,020</w:t>
            </w:r>
          </w:p>
        </w:tc>
        <w:tc>
          <w:tcPr>
            <w:tcW w:w="34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264,298</w:t>
            </w:r>
          </w:p>
        </w:tc>
      </w:tr>
      <w:tr>
        <w:trPr/>
        <w:tc>
          <w:tcPr>
            <w:tcW w:w="760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29,207</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26,074</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Customer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7,537</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4,788</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1,818</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3,084</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4,124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4,374</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Accrued payroll and 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7,467</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7,474</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Accrued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989</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1,472</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3,774</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3,790</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Accrued warranty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1,071</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967</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55,987</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52,023</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Operating lease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5,716</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7,560</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credits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5,991</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5,890</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11,744</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13,488</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Commitment and contingencies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Preferred stock: no</w:t>
            </w:r>
            <w:r>
              <w:rPr>
                <w:rFonts w:ascii="Times New Roman;Times;serif" w:hAnsi="Times New Roman;Times;serif"/>
                <w:sz w:val="16"/>
              </w:rPr>
              <w:t xml:space="preserve"> </w:t>
            </w:r>
            <w:r>
              <w:rPr>
                <w:rFonts w:ascii="Times New Roman;Times;serif" w:hAnsi="Times New Roman;Times;serif"/>
                <w:sz w:val="17"/>
              </w:rPr>
              <w:t>par value per share, 1,000,000</w:t>
            </w:r>
            <w:r>
              <w:rPr>
                <w:rFonts w:ascii="Times New Roman;Times;serif" w:hAnsi="Times New Roman;Times;serif"/>
                <w:sz w:val="16"/>
              </w:rPr>
              <w:t xml:space="preserve"> </w:t>
            </w:r>
            <w:r>
              <w:rPr>
                <w:rFonts w:ascii="Times New Roman;Times;serif" w:hAnsi="Times New Roman;Times;serif"/>
                <w:sz w:val="17"/>
              </w:rPr>
              <w:t>shares authorized; no</w:t>
            </w:r>
            <w:r>
              <w:rPr>
                <w:rFonts w:ascii="Times New Roman;Times;serif" w:hAnsi="Times New Roman;Times;serif"/>
                <w:sz w:val="16"/>
              </w:rPr>
              <w:t xml:space="preserve"> </w:t>
            </w:r>
            <w:r>
              <w:rPr>
                <w:rFonts w:ascii="Times New Roman;Times;serif" w:hAnsi="Times New Roman;Times;serif"/>
                <w:sz w:val="17"/>
              </w:rPr>
              <w:t>shares issued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7"/>
              </w:rPr>
              <w:t>Common stock: no</w:t>
            </w:r>
            <w:r>
              <w:rPr>
                <w:rFonts w:ascii="Times New Roman;Times;serif" w:hAnsi="Times New Roman;Times;serif"/>
                <w:sz w:val="16"/>
              </w:rPr>
              <w:t xml:space="preserve"> </w:t>
            </w:r>
            <w:r>
              <w:rPr>
                <w:rFonts w:ascii="Times New Roman;Times;serif" w:hAnsi="Times New Roman;Times;serif"/>
                <w:sz w:val="17"/>
              </w:rPr>
              <w:t>par value, $.10</w:t>
            </w:r>
            <w:r>
              <w:rPr>
                <w:rFonts w:ascii="Times New Roman;Times;serif" w:hAnsi="Times New Roman;Times;serif"/>
                <w:sz w:val="16"/>
              </w:rPr>
              <w:t xml:space="preserve"> </w:t>
            </w:r>
            <w:r>
              <w:rPr>
                <w:rFonts w:ascii="Times New Roman;Times;serif" w:hAnsi="Times New Roman;Times;serif"/>
                <w:sz w:val="17"/>
              </w:rPr>
              <w:t>stated value per share, 12,500,000</w:t>
            </w:r>
            <w:r>
              <w:rPr>
                <w:rFonts w:ascii="Times New Roman;Times;serif" w:hAnsi="Times New Roman;Times;serif"/>
                <w:sz w:val="16"/>
              </w:rPr>
              <w:t xml:space="preserve"> </w:t>
            </w:r>
            <w:r>
              <w:rPr>
                <w:rFonts w:ascii="Times New Roman;Times;serif" w:hAnsi="Times New Roman;Times;serif"/>
                <w:sz w:val="17"/>
              </w:rPr>
              <w:t>shares authorized; 6,675,629</w:t>
            </w:r>
            <w:r>
              <w:rPr>
                <w:rFonts w:ascii="Times New Roman;Times;serif" w:hAnsi="Times New Roman;Times;serif"/>
                <w:sz w:val="16"/>
              </w:rPr>
              <w:t xml:space="preserve"> </w:t>
            </w:r>
            <w:r>
              <w:rPr>
                <w:rFonts w:ascii="Times New Roman;Times;serif" w:hAnsi="Times New Roman;Times;serif"/>
                <w:sz w:val="17"/>
              </w:rPr>
              <w:t>and 6,569,224</w:t>
            </w:r>
            <w:r>
              <w:rPr>
                <w:rFonts w:ascii="Times New Roman;Times;serif" w:hAnsi="Times New Roman;Times;serif"/>
                <w:sz w:val="16"/>
              </w:rPr>
              <w:t xml:space="preserve"> </w:t>
            </w:r>
            <w:r>
              <w:rPr>
                <w:rFonts w:ascii="Times New Roman;Times;serif" w:hAnsi="Times New Roman;Times;serif"/>
                <w:sz w:val="17"/>
              </w:rPr>
              <w:t>shares issued and 6,476,322</w:t>
            </w:r>
            <w:r>
              <w:rPr>
                <w:rFonts w:ascii="Times New Roman;Times;serif" w:hAnsi="Times New Roman;Times;serif"/>
                <w:sz w:val="16"/>
              </w:rPr>
              <w:t xml:space="preserve"> </w:t>
            </w:r>
            <w:r>
              <w:rPr>
                <w:rFonts w:ascii="Times New Roman;Times;serif" w:hAnsi="Times New Roman;Times;serif"/>
                <w:sz w:val="17"/>
              </w:rPr>
              <w:t>and 6,402,396</w:t>
            </w:r>
            <w:r>
              <w:rPr>
                <w:rFonts w:ascii="Times New Roman;Times;serif" w:hAnsi="Times New Roman;Times;serif"/>
                <w:sz w:val="16"/>
              </w:rPr>
              <w:t xml:space="preserve"> </w:t>
            </w:r>
            <w:r>
              <w:rPr>
                <w:rFonts w:ascii="Times New Roman;Times;serif" w:hAnsi="Times New Roman;Times;serif"/>
                <w:sz w:val="17"/>
              </w:rPr>
              <w:t>shares outstanding, as of July 31, 2026 and October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648</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640</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62,213</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60,850</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Retained earnings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142,779</w:t>
            </w:r>
          </w:p>
        </w:tc>
        <w:tc>
          <w:tcPr>
            <w:tcW w:w="34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146,305</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(13,351)</w:t>
            </w:r>
          </w:p>
        </w:tc>
        <w:tc>
          <w:tcPr>
            <w:tcW w:w="346" w:type="dxa"/>
            <w:tcBorders/>
            <w:shd w:fill="CCEEFF" w:val="clear"/>
            <w:vAlign w:val="center"/>
          </w:tcPr>
          <w:p>
            <w:pPr>
              <w:pStyle w:val="TableContents"/>
              <w:bidi w:val="0"/>
              <w:spacing w:before="0" w:after="1"/>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(9,008)</w:t>
            </w:r>
          </w:p>
        </w:tc>
      </w:tr>
      <w:tr>
        <w:trPr/>
        <w:tc>
          <w:tcPr>
            <w:tcW w:w="7601"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192,289</w:t>
            </w:r>
          </w:p>
        </w:tc>
        <w:tc>
          <w:tcPr>
            <w:tcW w:w="346" w:type="dxa"/>
            <w:tcBorders/>
            <w:vAlign w:val="center"/>
          </w:tcPr>
          <w:p>
            <w:pPr>
              <w:pStyle w:val="TableContents"/>
              <w:bidi w:val="0"/>
              <w:spacing w:before="0" w:after="1"/>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198,787</w:t>
            </w:r>
          </w:p>
        </w:tc>
      </w:tr>
      <w:tr>
        <w:trPr/>
        <w:tc>
          <w:tcPr>
            <w:tcW w:w="7601"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Total 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260,020</w:t>
            </w:r>
          </w:p>
        </w:tc>
        <w:tc>
          <w:tcPr>
            <w:tcW w:w="346" w:type="dxa"/>
            <w:tcBorders/>
            <w:shd w:fill="CCEEFF" w:val="clear"/>
            <w:vAlign w:val="center"/>
          </w:tcPr>
          <w:p>
            <w:pPr>
              <w:pStyle w:val="TableContents"/>
              <w:bidi w:val="0"/>
              <w:spacing w:before="0" w:after="1"/>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264,298</w:t>
            </w:r>
          </w:p>
        </w:tc>
      </w:tr>
      <w:tr>
        <w:trPr/>
        <w:tc>
          <w:tcPr>
            <w:tcW w:w="7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3" w:name="_27e60bd7_d110_4745_b2cc_77aa84df4fa6"/>
      <w:bookmarkEnd w:id="303"/>
      <w:r>
        <w:rPr>
          <w:rFonts w:ascii="Times New Roman;Times;serif" w:hAnsi="Times New Roman;Times;serif"/>
          <w:b/>
          <w:sz w:val="20"/>
        </w:rPr>
        <w:t>HURCO COMPANIES, INC.</w:t>
      </w:r>
    </w:p>
    <w:p>
      <w:pPr>
        <w:pStyle w:val="TextBody"/>
        <w:bidi w:val="0"/>
        <w:spacing w:before="0" w:after="0"/>
        <w:ind w:left="0" w:right="0" w:hanging="0"/>
        <w:jc w:val="center"/>
        <w:rPr>
          <w:rFonts w:ascii="Times New Roman;Times;serif" w:hAnsi="Times New Roman;Times;serif"/>
          <w:b/>
          <w:sz w:val="20"/>
        </w:rPr>
      </w:pPr>
      <w:bookmarkStart w:id="304" w:name="CONDENSEDCONSOLIDATEDSTATEMENTSOFCASHFLO"/>
      <w:bookmarkEnd w:id="30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Normal"/>
        <w:bidi w:val="0"/>
        <w:spacing w:before="0" w:after="0"/>
        <w:jc w:val="left"/>
        <w:rPr>
          <w:sz w:val="4"/>
          <w:szCs w:val="4"/>
        </w:rPr>
      </w:pPr>
      <w:r>
        <w:rPr>
          <w:sz w:val="4"/>
          <w:szCs w:val="4"/>
        </w:rPr>
      </w:r>
      <w:bookmarkStart w:id="305" w:name="Tc_dnsX4HKGG0OFPjYCtb_3Iw_54_11"/>
      <w:bookmarkStart w:id="306" w:name="Tc__nt6Wgi6Y0aNjcLAO21mOw_54_8"/>
      <w:bookmarkStart w:id="307" w:name="Tc_EU2j6gEkaUu26oCswKJNjw_54_5"/>
      <w:bookmarkStart w:id="308" w:name="Tc_8SV1KITk90-wWzViwkd50A_54_2"/>
      <w:bookmarkStart w:id="309" w:name="Tc_nWnf_q23tkGCUE2J_iOUcQ_54_0"/>
      <w:bookmarkStart w:id="310" w:name="Tc_wXu_oFeo7kaVUaichNVJZQ_53_12"/>
      <w:bookmarkStart w:id="311" w:name="Tc_Pgp7deGn20K3KCX4nbUEhQ_53_11"/>
      <w:bookmarkStart w:id="312" w:name="Tc_KcfUoafVF0KowHEuzPCGTQ_53_9"/>
      <w:bookmarkStart w:id="313" w:name="Tc_hdoMwx58D0uUpVNqLVQkng_53_8"/>
      <w:bookmarkStart w:id="314" w:name="Tc_QXq8g46--EO_yFft3SRyDQ_53_6"/>
      <w:bookmarkStart w:id="315" w:name="Tc_lNTzha3tCEivRSqRgVnRVQ_53_5"/>
      <w:bookmarkStart w:id="316" w:name="Tc_T3YVwaR_V0K49HrIqY8kBA_53_3"/>
      <w:bookmarkStart w:id="317" w:name="Tc_oGtt4urYpE-v3ROqe6H8Qw_53_2"/>
      <w:bookmarkStart w:id="318" w:name="Tc_zyer2gSIXUuyY5Ufrpe-MA_53_0"/>
      <w:bookmarkStart w:id="319" w:name="Tc_DvPAfud7p0uLD1hvtBYyog_52_0"/>
      <w:bookmarkStart w:id="320" w:name="Tc_rXaQaEoFp0mBsrKsL_lxQg_51_0"/>
      <w:bookmarkStart w:id="321" w:name="Tc_6Tp5drXkc0G1TGmJWBY8kg_49_11"/>
      <w:bookmarkStart w:id="322" w:name="Tc_EOv7L-OWA0aqb9aqKSWRbw_49_8"/>
      <w:bookmarkStart w:id="323" w:name="Tc_5k9YqZuhlU-v1i30Npt3JQ_49_5"/>
      <w:bookmarkStart w:id="324" w:name="Tc_8sc1ter0TEmqwzcnmLnduA_49_2"/>
      <w:bookmarkStart w:id="325" w:name="Tc_0oT_LqjW40WuvZhx30ljQg_49_0"/>
      <w:bookmarkStart w:id="326" w:name="Tc_tVOezDc11EO5qfC968zRLg_47_0"/>
      <w:bookmarkStart w:id="327" w:name="Tc_ki-mg11CSE-ZJlKSEli5Kw_45_0"/>
      <w:bookmarkStart w:id="328" w:name="Tc_AVudVkJHtEqSkXQj7jWkEQ_43_0"/>
      <w:bookmarkStart w:id="329" w:name="Tc_S-bC266vckuCYyUtah4v8Q_41_3"/>
      <w:bookmarkStart w:id="330" w:name="Tc_NlrrPgZGCkygRSoIWwqh4Q_41_0"/>
      <w:bookmarkStart w:id="331" w:name="Tc_RIhhmXFsb0GO6KdCRUM5NQ_40_6"/>
      <w:bookmarkStart w:id="332" w:name="Tc_hdBnSlkR_kOf7TToAC1SDg_40_3"/>
      <w:bookmarkStart w:id="333" w:name="Tc_wcF16V64_UazzEz28om9dw_40_0"/>
      <w:bookmarkStart w:id="334" w:name="Tc_8xClP3Q5c0Ofgp8hpNHRIw_39_9"/>
      <w:bookmarkStart w:id="335" w:name="Tc_Po91rBElQk6Sh2FahU8Vvw_39_3"/>
      <w:bookmarkStart w:id="336" w:name="Tc_FI2-ocfDX0ee1FRvBpuiVA_39_0"/>
      <w:bookmarkStart w:id="337" w:name="Tc_LwFSSm0kL0yz3CAskzR5Hg_38_0"/>
      <w:bookmarkStart w:id="338" w:name="Tc_tLabUiruQUG4jN6y8Pqw1Q_36_0"/>
      <w:bookmarkStart w:id="339" w:name="Tc_3qLUV5wChEOmXvm1kJZ1HQ_35_9"/>
      <w:bookmarkStart w:id="340" w:name="Tc_z7gWfIYWOUuvGlkq2mpD8w_35_3"/>
      <w:bookmarkStart w:id="341" w:name="Tc_cn4t-bvXWk6sWYh_ZEcRkg_35_0"/>
      <w:bookmarkStart w:id="342" w:name="Tc_qHeCMWijpES-uBIjv4evdQ_34_12"/>
      <w:bookmarkStart w:id="343" w:name="Tc_MC6RHUUrL0WT9JN5roGURg_34_6"/>
      <w:bookmarkStart w:id="344" w:name="Tc_GEewF_VtC0mIRIH5ATA2ZA_34_3"/>
      <w:bookmarkStart w:id="345" w:name="Tc_1l1pYM5QO02oUmZRVsIl4w_34_0"/>
      <w:bookmarkStart w:id="346" w:name="Tc_SFZBlDzRK0ujh3LGUY34Lg_33_0"/>
      <w:bookmarkStart w:id="347" w:name="Tc_pOwDOXDL10uppONGNEVJ8w_32_0"/>
      <w:bookmarkStart w:id="348" w:name="Tc_mNQ5yQZDIkeUrjjPIMozHA_31_3"/>
      <w:bookmarkStart w:id="349" w:name="Tc_KBmaWuZX5kyqXIjFOXxCFQ_31_0"/>
      <w:bookmarkStart w:id="350" w:name="Tc_gCopHxAkNEObmqcssaaS3g_30_0"/>
      <w:bookmarkStart w:id="351" w:name="Tc_q51rkqt4TUm5CS9aVnhymQ_28_0"/>
      <w:bookmarkStart w:id="352" w:name="Tc_hMu0aeNfiU2WZdq2QQLhDg_27_0"/>
      <w:bookmarkStart w:id="353" w:name="Tc_KDpMQglhYUCv9tbYWK446w_26_0"/>
      <w:bookmarkStart w:id="354" w:name="Tc_EWh2YlZVA0mywSmbEr8Ovg_25_0"/>
      <w:bookmarkStart w:id="355" w:name="Tc_Z1O6zH-6L0afhsg3Uq2NLg_24_0"/>
      <w:bookmarkStart w:id="356" w:name="Tc_GR8HFjkcbkavIAOQBlRxMA_23_0"/>
      <w:bookmarkStart w:id="357" w:name="Tc_lRZJP1MLrk6sz2u8TxHVkA_22_0"/>
      <w:bookmarkStart w:id="358" w:name="Tc_v9SE9osOe0iQUJbLaJT5Sg_21_0"/>
      <w:bookmarkStart w:id="359" w:name="Tc_GXM8twWzmUyYeHPBDz1OcA_20_0"/>
      <w:bookmarkStart w:id="360" w:name="Tc_G4tfL2nTo0aM6M3gmSrsLg_19_0"/>
      <w:bookmarkStart w:id="361" w:name="Tc_-GK3Lf_tekiVCJA8GNqzBQ_18_0"/>
      <w:bookmarkStart w:id="362" w:name="Tc_rbYlPRU93EWdngqiCkQpZA_17_0"/>
      <w:bookmarkStart w:id="363" w:name="Tc_sug1Yt4f20636ivuAylJ5A_16_0"/>
      <w:bookmarkStart w:id="364" w:name="Tc_eeWUkl4lPkWixImjyi5xiw_15_0"/>
      <w:bookmarkStart w:id="365" w:name="Tc_F4ONm81iAUW5MvGf2C3nWw_14_0"/>
      <w:bookmarkStart w:id="366" w:name="Tc_MhOkszogYUC1faNvjbrzrw_13_0"/>
      <w:bookmarkStart w:id="367" w:name="Tc_asbtG-_QvUSpHr2Mq5xAjQ_12_0"/>
      <w:bookmarkStart w:id="368" w:name="Tc_W77-zhQoDEa2YrRe_BcS6Q_11_0"/>
      <w:bookmarkStart w:id="369" w:name="Tc_4yw7ki3_JUqnmZqwRC9ArA_10_0"/>
      <w:bookmarkStart w:id="370" w:name="Tc_mp55yksgv02It2f1PeUsWA_9_0"/>
      <w:bookmarkStart w:id="371" w:name="Tc_3pS8LZ-bYk-ViQpmt32lbA_8_0"/>
      <w:bookmarkStart w:id="372" w:name="Tc_qr2AvNzNKEWeBrx-TdTlng_7_0"/>
      <w:bookmarkStart w:id="373" w:name="Tc_ZIOzEhhqCUijKhCYp7T9pQ_6_11"/>
      <w:bookmarkStart w:id="374" w:name="Tc_pL4ijor94kCVMXR4XUm9eg_6_8"/>
      <w:bookmarkStart w:id="375" w:name="Tc_9lJbVhZDYEOjZMGB4vh7WQ_6_5"/>
      <w:bookmarkStart w:id="376" w:name="Tc_oDkej-guhkG0UQwWHGcLew_6_2"/>
      <w:bookmarkStart w:id="377" w:name="Tc_6RZSdU_TcUO9UZfHZws5vA_6_0"/>
      <w:bookmarkStart w:id="378" w:name="Tc_0-1B_1-LHk6uos7jH17vEg_5_0"/>
      <w:bookmarkStart w:id="379" w:name="Tc_I00sXxR8906QwcLaEn5w8A_4_8"/>
      <w:bookmarkStart w:id="380" w:name="Tc_Z4JMqEo7WkiU20c76okt1g_4_3"/>
      <w:bookmarkStart w:id="381" w:name="Tc_vO_6bcWHgk-TnN8JSja6Hw_3_11"/>
      <w:bookmarkStart w:id="382" w:name="Tc_eDOqXhiP4UuoUYAY7HnVsg_3_8"/>
      <w:bookmarkStart w:id="383" w:name="Tc_tnOq1NFdRU6EQDEPCKJerQ_3_5"/>
      <w:bookmarkStart w:id="384" w:name="Tc_rglr6Dr15kW-git5SgloVw_3_2"/>
      <w:bookmarkStart w:id="385" w:name="Tc_pTrCPY2gUkq-hVEd28Kgsw_2_8"/>
      <w:bookmarkStart w:id="386" w:name="Tc_iewjFu9DT0ql-LK2LR1PJg_2_2"/>
      <w:bookmarkStart w:id="387" w:name="Tc_4JC_-IhMw0Sv0jAGqzlV-g_1_8"/>
      <w:bookmarkStart w:id="388" w:name="Tc_DHQNGYZN5keYnMauuNLaJA_1_2"/>
      <w:bookmarkStart w:id="389" w:name="_1d5e24ed_3ab3_4685_a410_47a261f0bdcb"/>
      <w:bookmarkStart w:id="390" w:name="Tc_dnsX4HKGG0OFPjYCtb_3Iw_54_11"/>
      <w:bookmarkStart w:id="391" w:name="Tc__nt6Wgi6Y0aNjcLAO21mOw_54_8"/>
      <w:bookmarkStart w:id="392" w:name="Tc_EU2j6gEkaUu26oCswKJNjw_54_5"/>
      <w:bookmarkStart w:id="393" w:name="Tc_8SV1KITk90-wWzViwkd50A_54_2"/>
      <w:bookmarkStart w:id="394" w:name="Tc_nWnf_q23tkGCUE2J_iOUcQ_54_0"/>
      <w:bookmarkStart w:id="395" w:name="Tc_wXu_oFeo7kaVUaichNVJZQ_53_12"/>
      <w:bookmarkStart w:id="396" w:name="Tc_Pgp7deGn20K3KCX4nbUEhQ_53_11"/>
      <w:bookmarkStart w:id="397" w:name="Tc_KcfUoafVF0KowHEuzPCGTQ_53_9"/>
      <w:bookmarkStart w:id="398" w:name="Tc_hdoMwx58D0uUpVNqLVQkng_53_8"/>
      <w:bookmarkStart w:id="399" w:name="Tc_QXq8g46--EO_yFft3SRyDQ_53_6"/>
      <w:bookmarkStart w:id="400" w:name="Tc_lNTzha3tCEivRSqRgVnRVQ_53_5"/>
      <w:bookmarkStart w:id="401" w:name="Tc_T3YVwaR_V0K49HrIqY8kBA_53_3"/>
      <w:bookmarkStart w:id="402" w:name="Tc_oGtt4urYpE-v3ROqe6H8Qw_53_2"/>
      <w:bookmarkStart w:id="403" w:name="Tc_zyer2gSIXUuyY5Ufrpe-MA_53_0"/>
      <w:bookmarkStart w:id="404" w:name="Tc_DvPAfud7p0uLD1hvtBYyog_52_0"/>
      <w:bookmarkStart w:id="405" w:name="Tc_rXaQaEoFp0mBsrKsL_lxQg_51_0"/>
      <w:bookmarkStart w:id="406" w:name="Tc_6Tp5drXkc0G1TGmJWBY8kg_49_11"/>
      <w:bookmarkStart w:id="407" w:name="Tc_EOv7L-OWA0aqb9aqKSWRbw_49_8"/>
      <w:bookmarkStart w:id="408" w:name="Tc_5k9YqZuhlU-v1i30Npt3JQ_49_5"/>
      <w:bookmarkStart w:id="409" w:name="Tc_8sc1ter0TEmqwzcnmLnduA_49_2"/>
      <w:bookmarkStart w:id="410" w:name="Tc_0oT_LqjW40WuvZhx30ljQg_49_0"/>
      <w:bookmarkStart w:id="411" w:name="Tc_tVOezDc11EO5qfC968zRLg_47_0"/>
      <w:bookmarkStart w:id="412" w:name="Tc_ki-mg11CSE-ZJlKSEli5Kw_45_0"/>
      <w:bookmarkStart w:id="413" w:name="Tc_AVudVkJHtEqSkXQj7jWkEQ_43_0"/>
      <w:bookmarkStart w:id="414" w:name="Tc_S-bC266vckuCYyUtah4v8Q_41_3"/>
      <w:bookmarkStart w:id="415" w:name="Tc_NlrrPgZGCkygRSoIWwqh4Q_41_0"/>
      <w:bookmarkStart w:id="416" w:name="Tc_RIhhmXFsb0GO6KdCRUM5NQ_40_6"/>
      <w:bookmarkStart w:id="417" w:name="Tc_hdBnSlkR_kOf7TToAC1SDg_40_3"/>
      <w:bookmarkStart w:id="418" w:name="Tc_wcF16V64_UazzEz28om9dw_40_0"/>
      <w:bookmarkStart w:id="419" w:name="Tc_8xClP3Q5c0Ofgp8hpNHRIw_39_9"/>
      <w:bookmarkStart w:id="420" w:name="Tc_Po91rBElQk6Sh2FahU8Vvw_39_3"/>
      <w:bookmarkStart w:id="421" w:name="Tc_FI2-ocfDX0ee1FRvBpuiVA_39_0"/>
      <w:bookmarkStart w:id="422" w:name="Tc_LwFSSm0kL0yz3CAskzR5Hg_38_0"/>
      <w:bookmarkStart w:id="423" w:name="Tc_tLabUiruQUG4jN6y8Pqw1Q_36_0"/>
      <w:bookmarkStart w:id="424" w:name="Tc_3qLUV5wChEOmXvm1kJZ1HQ_35_9"/>
      <w:bookmarkStart w:id="425" w:name="Tc_z7gWfIYWOUuvGlkq2mpD8w_35_3"/>
      <w:bookmarkStart w:id="426" w:name="Tc_cn4t-bvXWk6sWYh_ZEcRkg_35_0"/>
      <w:bookmarkStart w:id="427" w:name="Tc_qHeCMWijpES-uBIjv4evdQ_34_12"/>
      <w:bookmarkStart w:id="428" w:name="Tc_MC6RHUUrL0WT9JN5roGURg_34_6"/>
      <w:bookmarkStart w:id="429" w:name="Tc_GEewF_VtC0mIRIH5ATA2ZA_34_3"/>
      <w:bookmarkStart w:id="430" w:name="Tc_1l1pYM5QO02oUmZRVsIl4w_34_0"/>
      <w:bookmarkStart w:id="431" w:name="Tc_SFZBlDzRK0ujh3LGUY34Lg_33_0"/>
      <w:bookmarkStart w:id="432" w:name="Tc_pOwDOXDL10uppONGNEVJ8w_32_0"/>
      <w:bookmarkStart w:id="433" w:name="Tc_mNQ5yQZDIkeUrjjPIMozHA_31_3"/>
      <w:bookmarkStart w:id="434" w:name="Tc_KBmaWuZX5kyqXIjFOXxCFQ_31_0"/>
      <w:bookmarkStart w:id="435" w:name="Tc_gCopHxAkNEObmqcssaaS3g_30_0"/>
      <w:bookmarkStart w:id="436" w:name="Tc_q51rkqt4TUm5CS9aVnhymQ_28_0"/>
      <w:bookmarkStart w:id="437" w:name="Tc_hMu0aeNfiU2WZdq2QQLhDg_27_0"/>
      <w:bookmarkStart w:id="438" w:name="Tc_KDpMQglhYUCv9tbYWK446w_26_0"/>
      <w:bookmarkStart w:id="439" w:name="Tc_EWh2YlZVA0mywSmbEr8Ovg_25_0"/>
      <w:bookmarkStart w:id="440" w:name="Tc_Z1O6zH-6L0afhsg3Uq2NLg_24_0"/>
      <w:bookmarkStart w:id="441" w:name="Tc_GR8HFjkcbkavIAOQBlRxMA_23_0"/>
      <w:bookmarkStart w:id="442" w:name="Tc_lRZJP1MLrk6sz2u8TxHVkA_22_0"/>
      <w:bookmarkStart w:id="443" w:name="Tc_v9SE9osOe0iQUJbLaJT5Sg_21_0"/>
      <w:bookmarkStart w:id="444" w:name="Tc_GXM8twWzmUyYeHPBDz1OcA_20_0"/>
      <w:bookmarkStart w:id="445" w:name="Tc_G4tfL2nTo0aM6M3gmSrsLg_19_0"/>
      <w:bookmarkStart w:id="446" w:name="Tc_-GK3Lf_tekiVCJA8GNqzBQ_18_0"/>
      <w:bookmarkStart w:id="447" w:name="Tc_rbYlPRU93EWdngqiCkQpZA_17_0"/>
      <w:bookmarkStart w:id="448" w:name="Tc_sug1Yt4f20636ivuAylJ5A_16_0"/>
      <w:bookmarkStart w:id="449" w:name="Tc_eeWUkl4lPkWixImjyi5xiw_15_0"/>
      <w:bookmarkStart w:id="450" w:name="Tc_F4ONm81iAUW5MvGf2C3nWw_14_0"/>
      <w:bookmarkStart w:id="451" w:name="Tc_MhOkszogYUC1faNvjbrzrw_13_0"/>
      <w:bookmarkStart w:id="452" w:name="Tc_asbtG-_QvUSpHr2Mq5xAjQ_12_0"/>
      <w:bookmarkStart w:id="453" w:name="Tc_W77-zhQoDEa2YrRe_BcS6Q_11_0"/>
      <w:bookmarkStart w:id="454" w:name="Tc_4yw7ki3_JUqnmZqwRC9ArA_10_0"/>
      <w:bookmarkStart w:id="455" w:name="Tc_mp55yksgv02It2f1PeUsWA_9_0"/>
      <w:bookmarkStart w:id="456" w:name="Tc_3pS8LZ-bYk-ViQpmt32lbA_8_0"/>
      <w:bookmarkStart w:id="457" w:name="Tc_qr2AvNzNKEWeBrx-TdTlng_7_0"/>
      <w:bookmarkStart w:id="458" w:name="Tc_ZIOzEhhqCUijKhCYp7T9pQ_6_11"/>
      <w:bookmarkStart w:id="459" w:name="Tc_pL4ijor94kCVMXR4XUm9eg_6_8"/>
      <w:bookmarkStart w:id="460" w:name="Tc_9lJbVhZDYEOjZMGB4vh7WQ_6_5"/>
      <w:bookmarkStart w:id="461" w:name="Tc_oDkej-guhkG0UQwWHGcLew_6_2"/>
      <w:bookmarkStart w:id="462" w:name="Tc_6RZSdU_TcUO9UZfHZws5vA_6_0"/>
      <w:bookmarkStart w:id="463" w:name="Tc_0-1B_1-LHk6uos7jH17vEg_5_0"/>
      <w:bookmarkStart w:id="464" w:name="Tc_I00sXxR8906QwcLaEn5w8A_4_8"/>
      <w:bookmarkStart w:id="465" w:name="Tc_Z4JMqEo7WkiU20c76okt1g_4_3"/>
      <w:bookmarkStart w:id="466" w:name="Tc_vO_6bcWHgk-TnN8JSja6Hw_3_11"/>
      <w:bookmarkStart w:id="467" w:name="Tc_eDOqXhiP4UuoUYAY7HnVsg_3_8"/>
      <w:bookmarkStart w:id="468" w:name="Tc_tnOq1NFdRU6EQDEPCKJerQ_3_5"/>
      <w:bookmarkStart w:id="469" w:name="Tc_rglr6Dr15kW-git5SgloVw_3_2"/>
      <w:bookmarkStart w:id="470" w:name="Tc_pTrCPY2gUkq-hVEd28Kgsw_2_8"/>
      <w:bookmarkStart w:id="471" w:name="Tc_iewjFu9DT0ql-LK2LR1PJg_2_2"/>
      <w:bookmarkStart w:id="472" w:name="Tc_4JC_-IhMw0Sv0jAGqzlV-g_1_8"/>
      <w:bookmarkStart w:id="473" w:name="Tc_DHQNGYZN5keYnMauuNLaJA_1_2"/>
      <w:bookmarkStart w:id="474" w:name="_1d5e24ed_3ab3_4685_a410_47a261f0bdcb"/>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p>
    <w:tbl>
      <w:tblPr>
        <w:tblW w:w="10205" w:type="dxa"/>
        <w:jc w:val="left"/>
        <w:tblInd w:w="0" w:type="dxa"/>
        <w:tblLayout w:type="fixed"/>
        <w:tblCellMar>
          <w:top w:w="0" w:type="dxa"/>
          <w:left w:w="0" w:type="dxa"/>
          <w:bottom w:w="0" w:type="dxa"/>
          <w:right w:w="0" w:type="dxa"/>
        </w:tblCellMar>
      </w:tblPr>
      <w:tblGrid>
        <w:gridCol w:w="5415"/>
        <w:gridCol w:w="346"/>
        <w:gridCol w:w="196"/>
        <w:gridCol w:w="623"/>
        <w:gridCol w:w="346"/>
        <w:gridCol w:w="196"/>
        <w:gridCol w:w="623"/>
        <w:gridCol w:w="346"/>
        <w:gridCol w:w="196"/>
        <w:gridCol w:w="623"/>
        <w:gridCol w:w="346"/>
        <w:gridCol w:w="196"/>
        <w:gridCol w:w="753"/>
      </w:tblGrid>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95605" cy="175260"/>
                      <wp:effectExtent l="0" t="0" r="0" b="0"/>
                      <wp:wrapNone/>
                      <wp:docPr id="36" name="Frame36"/>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95605" cy="175260"/>
                      <wp:effectExtent l="0" t="0" r="0" b="0"/>
                      <wp:wrapNone/>
                      <wp:docPr id="39" name="Frame39"/>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95605" cy="175260"/>
                      <wp:effectExtent l="0" t="0" r="0" b="0"/>
                      <wp:wrapNone/>
                      <wp:docPr id="42" name="Frame42"/>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78155" cy="175260"/>
                      <wp:effectExtent l="0" t="0" r="0" b="0"/>
                      <wp:wrapNone/>
                      <wp:docPr id="45" name="Frame45"/>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4" w:type="dxa"/>
            <w:gridSpan w:val="5"/>
            <w:tcBorders/>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14" w:type="dxa"/>
            <w:gridSpan w:val="5"/>
            <w:tcBorders/>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 xml:space="preserve">Nine Months Ended </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July 31, </w:t>
            </w:r>
          </w:p>
        </w:tc>
        <w:tc>
          <w:tcPr>
            <w:tcW w:w="346" w:type="dxa"/>
            <w:tcBorders/>
            <w:vAlign w:val="center"/>
          </w:tcPr>
          <w:p>
            <w:pPr>
              <w:pStyle w:val="TableContents"/>
              <w:bidi w:val="0"/>
              <w:spacing w:before="0" w:after="1"/>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July 31, </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346" w:type="dxa"/>
            <w:tcBorders/>
            <w:vAlign w:val="center"/>
          </w:tcPr>
          <w:p>
            <w:pPr>
              <w:pStyle w:val="TableContents"/>
              <w:bidi w:val="0"/>
              <w:spacing w:before="0" w:after="1"/>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c>
          <w:tcPr>
            <w:tcW w:w="346" w:type="dxa"/>
            <w:tcBorders/>
            <w:vAlign w:val="center"/>
          </w:tcPr>
          <w:p>
            <w:pPr>
              <w:pStyle w:val="TableContents"/>
              <w:bidi w:val="0"/>
              <w:spacing w:before="0" w:after="1"/>
              <w:ind w:left="0" w:right="0" w:hanging="0"/>
              <w:jc w:val="left"/>
              <w:rPr/>
            </w:pPr>
            <w:r>
              <w:rPr/>
              <w:t>  ​ ​ ​</w:t>
            </w:r>
          </w:p>
        </w:tc>
        <w:tc>
          <w:tcPr>
            <w:tcW w:w="8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2026</w:t>
            </w:r>
          </w:p>
        </w:tc>
        <w:tc>
          <w:tcPr>
            <w:tcW w:w="346" w:type="dxa"/>
            <w:tcBorders/>
            <w:vAlign w:val="center"/>
          </w:tcPr>
          <w:p>
            <w:pPr>
              <w:pStyle w:val="TableContents"/>
              <w:bidi w:val="0"/>
              <w:spacing w:before="0" w:after="1"/>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7"/>
              </w:rPr>
            </w:pPr>
            <w:r>
              <w:rPr>
                <w:rFonts w:ascii="Times New Roman;Times;serif" w:hAnsi="Times New Roman;Times;serif"/>
                <w:b/>
                <w:sz w:val="17"/>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788" w:type="dxa"/>
            <w:gridSpan w:val="4"/>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(unaudited)</w:t>
            </w:r>
          </w:p>
        </w:tc>
        <w:tc>
          <w:tcPr>
            <w:tcW w:w="346" w:type="dxa"/>
            <w:tcBorders/>
            <w:vAlign w:val="center"/>
          </w:tcPr>
          <w:p>
            <w:pPr>
              <w:pStyle w:val="TableContents"/>
              <w:bidi w:val="0"/>
              <w:spacing w:before="0" w:after="1"/>
              <w:ind w:left="0" w:right="0" w:hanging="0"/>
              <w:jc w:val="left"/>
              <w:rPr/>
            </w:pPr>
            <w:r>
              <w:rPr/>
              <w:t>​</w:t>
            </w:r>
          </w:p>
        </w:tc>
        <w:tc>
          <w:tcPr>
            <w:tcW w:w="2114" w:type="dxa"/>
            <w:gridSpan w:val="5"/>
            <w:tcBorders/>
            <w:vAlign w:val="center"/>
          </w:tcPr>
          <w:p>
            <w:pPr>
              <w:pStyle w:val="TableContents"/>
              <w:bidi w:val="0"/>
              <w:spacing w:before="0" w:after="1"/>
              <w:ind w:left="0" w:right="0" w:hanging="0"/>
              <w:jc w:val="center"/>
              <w:rPr>
                <w:rFonts w:ascii="Times New Roman;Times;serif" w:hAnsi="Times New Roman;Times;serif"/>
                <w:sz w:val="17"/>
              </w:rPr>
            </w:pPr>
            <w:r>
              <w:rPr>
                <w:rFonts w:ascii="Times New Roman;Times;serif" w:hAnsi="Times New Roman;Times;serif"/>
                <w:sz w:val="17"/>
              </w:rPr>
              <w:t>(unaudited)</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  ​</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income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2,314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(12,076)</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Adjustments to reconcile net income (loss) to net cash provided by (used for)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Provision for doubtful accounts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(134)</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(4,000)</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Deferred income tax valuation allowance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2,283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5,294</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Equity in (income) loss of affiliates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Foreign currency (gain)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3,099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(2,601)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2,552</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Unrealized (gain) loss on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(654)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(813)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(1,258)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(914)</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642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2,000</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578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1,629</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Change in assets and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(1,638)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9,754</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inventories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(1,373)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1,467</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11,099</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prepaid and 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(2,187)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(1,182)</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3,062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2,489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3,991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1,104</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customer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820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2,900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80</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accrued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(288)</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(461)</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accrued payroll and employee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(967)</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Increase (decrease) in accrued income tax</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726</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change in deferred tax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172</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Net change in derivative assets and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(63)</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(789)</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(used for) operating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3,805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2,538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5,327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13,872</w:t>
            </w:r>
          </w:p>
        </w:tc>
      </w:tr>
      <w:tr>
        <w:trPr/>
        <w:tc>
          <w:tcPr>
            <w:tcW w:w="541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Proceeds from sale of 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245</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Purchase of property and equipment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(871)</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Software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(462)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(1,792)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(1,417)</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received from sale of a business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right"/>
              <w:rPr/>
            </w:pPr>
            <w:r>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Other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118</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(used for) investing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(1,056)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(1,925)</w:t>
            </w:r>
          </w:p>
        </w:tc>
      </w:tr>
      <w:tr>
        <w:trPr/>
        <w:tc>
          <w:tcPr>
            <w:tcW w:w="541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Stock repurchases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(2,000)</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Taxes paid related to net settlement of restricted shares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(352)</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cash provided by (used for)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(2,352)</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Effect of exchange rate changes on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(739)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(626)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1,569</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Net increase (decrease) in 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2,032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687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11,164</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and cash equivalents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50,055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43,807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48,713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33,330</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b/>
                <w:sz w:val="17"/>
              </w:rPr>
            </w:pPr>
            <w:r>
              <w:rPr>
                <w:rFonts w:ascii="Times New Roman;Times;serif" w:hAnsi="Times New Roman;Times;serif"/>
                <w:b/>
                <w:sz w:val="17"/>
              </w:rPr>
              <w:t>Cash and cash equivalents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52,087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44,494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52,087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44,494</w:t>
            </w:r>
          </w:p>
        </w:tc>
      </w:tr>
      <w:tr>
        <w:trPr/>
        <w:tc>
          <w:tcPr>
            <w:tcW w:w="54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Supplemental disclosures: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pPr>
            <w:r>
              <w:rPr/>
              <w:t>​</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Cash paid for: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pPr>
            <w:r>
              <w:rPr/>
              <w:t>​</w:t>
            </w:r>
          </w:p>
        </w:tc>
      </w:tr>
      <w:tr>
        <w:trPr/>
        <w:tc>
          <w:tcPr>
            <w:tcW w:w="5415"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shd w:fill="CCEEFF" w:val="clear"/>
            <w:vAlign w:val="center"/>
          </w:tcPr>
          <w:p>
            <w:pPr>
              <w:pStyle w:val="TableContents"/>
              <w:bidi w:val="0"/>
              <w:spacing w:before="0" w:after="1"/>
              <w:ind w:left="0" w:right="0" w:hanging="0"/>
              <w:jc w:val="right"/>
              <w:rPr/>
            </w:pPr>
            <w:r>
              <w:rPr/>
              <w:t>—</w:t>
            </w:r>
          </w:p>
        </w:tc>
      </w:tr>
      <w:tr>
        <w:trPr/>
        <w:tc>
          <w:tcPr>
            <w:tcW w:w="5415"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Income taxes,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543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813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623" w:type="dxa"/>
            <w:tcBorders/>
            <w:vAlign w:val="center"/>
          </w:tcPr>
          <w:p>
            <w:pPr>
              <w:pStyle w:val="TableContents"/>
              <w:bidi w:val="0"/>
              <w:spacing w:before="0" w:after="1"/>
              <w:ind w:left="0" w:right="0" w:hanging="0"/>
              <w:jc w:val="right"/>
              <w:rPr>
                <w:rFonts w:ascii="Times New Roman;Times;serif" w:hAnsi="Times New Roman;Times;serif"/>
                <w:sz w:val="17"/>
              </w:rPr>
            </w:pPr>
            <w:r>
              <w:rPr>
                <w:rFonts w:ascii="Times New Roman;Times;serif" w:hAnsi="Times New Roman;Times;serif"/>
                <w:sz w:val="17"/>
              </w:rPr>
              <w:t>1,406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7"/>
              </w:rPr>
            </w:pPr>
            <w:r>
              <w:rPr>
                <w:rFonts w:ascii="Times New Roman;Times;serif" w:hAnsi="Times New Roman;Times;serif"/>
                <w:sz w:val="17"/>
              </w:rPr>
              <w:t>$</w:t>
            </w:r>
          </w:p>
        </w:tc>
        <w:tc>
          <w:tcPr>
            <w:tcW w:w="753" w:type="dxa"/>
            <w:tcBorders/>
            <w:vAlign w:val="center"/>
          </w:tcPr>
          <w:p>
            <w:pPr>
              <w:pStyle w:val="TableContents"/>
              <w:bidi w:val="0"/>
              <w:spacing w:before="0" w:after="1"/>
              <w:ind w:left="0" w:right="60" w:hanging="0"/>
              <w:jc w:val="right"/>
              <w:rPr>
                <w:rFonts w:ascii="Times New Roman;Times;serif" w:hAnsi="Times New Roman;Times;serif"/>
                <w:sz w:val="17"/>
              </w:rPr>
            </w:pPr>
            <w:r>
              <w:rPr>
                <w:rFonts w:ascii="Times New Roman;Times;serif" w:hAnsi="Times New Roman;Times;serif"/>
                <w:sz w:val="17"/>
              </w:rPr>
              <w:t>1,586</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5" w:name="_c6bd8c83_9179_469f_bee4_8410bc017785"/>
      <w:bookmarkEnd w:id="475"/>
      <w:r>
        <w:rPr>
          <w:rFonts w:ascii="Times New Roman;Times;serif" w:hAnsi="Times New Roman;Times;serif"/>
          <w:b/>
          <w:sz w:val="20"/>
        </w:rPr>
        <w:t>HURCO COMPANIES, INC.</w:t>
      </w:r>
    </w:p>
    <w:p>
      <w:pPr>
        <w:pStyle w:val="TextBody"/>
        <w:bidi w:val="0"/>
        <w:spacing w:before="0" w:after="0"/>
        <w:ind w:left="0" w:right="0" w:hanging="0"/>
        <w:jc w:val="center"/>
        <w:rPr>
          <w:rFonts w:ascii="Times New Roman;Times;serif" w:hAnsi="Times New Roman;Times;serif"/>
          <w:b/>
          <w:sz w:val="20"/>
        </w:rPr>
      </w:pPr>
      <w:bookmarkStart w:id="476" w:name="CONDENSEDCONSOLIDATEDSTATEMENTSOFCHANGES"/>
      <w:bookmarkEnd w:id="476"/>
      <w:r>
        <w:rPr>
          <w:rFonts w:ascii="Times New Roman;Times;serif" w:hAnsi="Times New Roman;Times;serif"/>
          <w:b/>
          <w:sz w:val="20"/>
        </w:rPr>
        <w:t>CONDENSED CONSOLIDATED STATEMENTS OF CHANGES IN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shares outstanding)</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7" w:name="Tc_azpaDg1omECIUNvZfSdhSw_20_16"/>
      <w:bookmarkStart w:id="478" w:name="Tc_OGcOKvLUZ0aqMzAYQ7KiVA_20_13"/>
      <w:bookmarkStart w:id="479" w:name="Tc_-0zEQrgBR0y416Uqp_LlaA_20_10"/>
      <w:bookmarkStart w:id="480" w:name="Tc__q4rBXYdLUqN9IMnUO6I5w_20_7"/>
      <w:bookmarkStart w:id="481" w:name="Tc_ajWM8t4r90eJ_QYu8rkqFQ_20_4"/>
      <w:bookmarkStart w:id="482" w:name="Tc_c803pRJF2kuBmKxjD8wWuA_20_0"/>
      <w:bookmarkStart w:id="483" w:name="Tc_7dALThqEq0OWm24NmQc1Fw_19_14"/>
      <w:bookmarkStart w:id="484" w:name="Tc_Tpt615yQE02N-9AM2WSm7g_19_11"/>
      <w:bookmarkStart w:id="485" w:name="Tc_MTIFxtjxzkq_Pqys22qA_A_19_5"/>
      <w:bookmarkStart w:id="486" w:name="Tc_pOSCyMrJKk2RDtOs4oELRQ_19_0"/>
      <w:bookmarkStart w:id="487" w:name="Tc_Ovk8POU7qkesesOrJXjUDQ_18_11"/>
      <w:bookmarkStart w:id="488" w:name="Tc_luVYpo3B80-m7tJ9xGpVnQ_18_8"/>
      <w:bookmarkStart w:id="489" w:name="Tc_nmQjSNEqG0un3_EyzHajVg_18_5"/>
      <w:bookmarkStart w:id="490" w:name="Tc_Q39oTQlB0UqbdNk7sv_nxA_18_2"/>
      <w:bookmarkStart w:id="491" w:name="Tc_6NMPLAF83kueDycq64a3Vg_18_0"/>
      <w:bookmarkStart w:id="492" w:name="Tc_lxVB7-8nKEqsauLWNPQ5Gw_17_11"/>
      <w:bookmarkStart w:id="493" w:name="Tc_qlc7TS9jVUafbtHDzATBbA_17_8"/>
      <w:bookmarkStart w:id="494" w:name="Tc_kWZWbfYxeka91c-9RrMPBQ_17_5"/>
      <w:bookmarkStart w:id="495" w:name="Tc_Xa-XEHMdS0GLvzSGTiNnbw_17_2"/>
      <w:bookmarkStart w:id="496" w:name="Tc_IV57hRpW0EyF5Ke9msPCfw_17_0"/>
      <w:bookmarkStart w:id="497" w:name="Tc_UIEXQqg9bk-zynp6-xA7Lg_16_14"/>
      <w:bookmarkStart w:id="498" w:name="Tc_40iROYgYXEawoQY9Ru4uTQ_16_8"/>
      <w:bookmarkStart w:id="499" w:name="Tc_wBeKIEF8qk-duDQlszclHw_16_5"/>
      <w:bookmarkStart w:id="500" w:name="Tc_slPZETweFUy3DHd6gVElCw_16_2"/>
      <w:bookmarkStart w:id="501" w:name="Tc_wfbde9mf3kWq7xkL7XPacQ_16_0"/>
      <w:bookmarkStart w:id="502" w:name="Tc_ep5xbVge_E-m4HzYXMj9Rg_15_16"/>
      <w:bookmarkStart w:id="503" w:name="Tc_2KMDyJg75kGywVIzQt6GqA_15_13"/>
      <w:bookmarkStart w:id="504" w:name="Tc_MZOmkzMg2kawmVJ2370nzA_15_10"/>
      <w:bookmarkStart w:id="505" w:name="Tc_iprdrT3h3EmHstCYMgAA2w_15_7"/>
      <w:bookmarkStart w:id="506" w:name="Tc_7GJ2br2pXkCUMAkesOIoTA_15_4"/>
      <w:bookmarkStart w:id="507" w:name="Tc_bFZSP14b50KMPKCUjXGQsg_15_0"/>
      <w:bookmarkStart w:id="508" w:name="Tc_epXnrWHYTUGfbzisOa8ErQ_13_16"/>
      <w:bookmarkStart w:id="509" w:name="Tc_Oq0JzgRz9kCTANe8Rn8GtQ_13_13"/>
      <w:bookmarkStart w:id="510" w:name="Tc_MQ1kiJZUAUuPAnl_UKw2Yg_13_10"/>
      <w:bookmarkStart w:id="511" w:name="Tc_Y5GnWqfIwkGWBQL3a1HT4g_13_7"/>
      <w:bookmarkStart w:id="512" w:name="Tc_puIg7xaIuke8Aw_iUZikug_13_4"/>
      <w:bookmarkStart w:id="513" w:name="Tc_PzPTFz4pukChzwRwnZmB2w_13_0"/>
      <w:bookmarkStart w:id="514" w:name="Tc__g9wsnaXFEeSOuPyCBQj8Q_12_14"/>
      <w:bookmarkStart w:id="515" w:name="Tc_IQ6IxYHrX0iUqTqyS49MwQ_12_11"/>
      <w:bookmarkStart w:id="516" w:name="Tc_u1HB3jdUiEmnLfj-lnGB2A_12_0"/>
      <w:bookmarkStart w:id="517" w:name="Tc_pBfG4qooSU-vCmZUydcSlA_11_14"/>
      <w:bookmarkStart w:id="518" w:name="Tc_jigvluaDik-cUDDuDju-Rw_11_11"/>
      <w:bookmarkStart w:id="519" w:name="Tc_E-XnfZthYEKw-uOzVTnt1g_11_5"/>
      <w:bookmarkStart w:id="520" w:name="Tc_WUEp12D5z060wFtm9aU-VA_11_2"/>
      <w:bookmarkStart w:id="521" w:name="Tc_MGW9I1q260G-_D4FpHOXOQ_11_0"/>
      <w:bookmarkStart w:id="522" w:name="Tc_hkdPSgqbSkaVPLEjZcUY8Q_10_11"/>
      <w:bookmarkStart w:id="523" w:name="Tc_r8ohA0-FlU6alq7uVgIE8A_10_8"/>
      <w:bookmarkStart w:id="524" w:name="Tc_4W3CCRV2wkmrAW1lWPk_rQ_10_5"/>
      <w:bookmarkStart w:id="525" w:name="Tc_gip-xlmEJku7Vog3_mUKvQ_10_2"/>
      <w:bookmarkStart w:id="526" w:name="Tc_iy4S8kMvEkSdsTOJweCwMw_10_0"/>
      <w:bookmarkStart w:id="527" w:name="Tc_mDO_4RJVvEWhQACyoNSOEg_9_11"/>
      <w:bookmarkStart w:id="528" w:name="Tc_a_SirtlwhU-DJwHN1J-0Tw_9_8"/>
      <w:bookmarkStart w:id="529" w:name="Tc_pOeiBSd3xkav2l9x_tYYrQ_9_5"/>
      <w:bookmarkStart w:id="530" w:name="Tc_wopzS4x4eE6UgbtugfrFDw_9_2"/>
      <w:bookmarkStart w:id="531" w:name="Tc_-YJoZYnAm0Ot_4HvutxZMA_9_0"/>
      <w:bookmarkStart w:id="532" w:name="Tc_qm3Vd-JL-kCR-jPq5r8WZA_8_14"/>
      <w:bookmarkStart w:id="533" w:name="Tc_LWtWCWslJkKtbKmxYFkDvw_8_8"/>
      <w:bookmarkStart w:id="534" w:name="Tc_53tk1Oq8pkWtEWvJGm2-Zw_8_5"/>
      <w:bookmarkStart w:id="535" w:name="Tc_Q1JY8GLcSEaaLQK0C0FQgA_8_2"/>
      <w:bookmarkStart w:id="536" w:name="Tc_XC471JxZdkqdH6KvwKcPNg_8_0"/>
      <w:bookmarkStart w:id="537" w:name="Tc_lKhQUR8iN0GI3hYLBMF4PQ_7_16"/>
      <w:bookmarkStart w:id="538" w:name="Tc_Jis8X5VfvEiuZ8aeZRJKGw_7_13"/>
      <w:bookmarkStart w:id="539" w:name="Tc_XmZmFzyO1ESe675DUHUALw_7_10"/>
      <w:bookmarkStart w:id="540" w:name="Tc_2sGdPUMYxkyBFjvZJ3PD8A_7_7"/>
      <w:bookmarkStart w:id="541" w:name="Tc_wUo2ueqsGUq-CxxKpmE32A_7_4"/>
      <w:bookmarkStart w:id="542" w:name="Tc_RPZUKlHWpUai4cdz8KO8iw_7_0"/>
      <w:bookmarkStart w:id="543" w:name="Tc_C5s67SAQVkSyEoVldRrixQ_6_16"/>
      <w:bookmarkStart w:id="544" w:name="Tc_jJ9tbvrGbkOdlDvWt2A4Dw_6_13"/>
      <w:bookmarkStart w:id="545" w:name="Tc_5oe3a-QlvEyAE_RN-NG9tQ_6_10"/>
      <w:bookmarkStart w:id="546" w:name="Tc_PKqlkx9FjUSTKFIHGXSEpg_6_7"/>
      <w:bookmarkStart w:id="547" w:name="Tc_SzXyumyVTUaDf_z7Wp5p3A_6_4"/>
      <w:bookmarkStart w:id="548" w:name="Tc_jRxqFKiFKEyCVjyfu0OrZA_6_2"/>
      <w:bookmarkStart w:id="549" w:name="Tc_9ddMgrq4eE2_IbI2cv8r3w_6_0"/>
      <w:bookmarkStart w:id="550" w:name="Tc_gXS4CY_YS0mJIehAyXLu2Q_5_13"/>
      <w:bookmarkStart w:id="551" w:name="Tc_AFLXNf6NB0itAt1gYUD5BQ_5_10"/>
      <w:bookmarkStart w:id="552" w:name="Tc_AeYj_gMToEu7puNvkqJUpA_5_7"/>
      <w:bookmarkStart w:id="553" w:name="Tc_79YtOY_Oe0iwTiU5RoKgrg_5_2"/>
      <w:bookmarkStart w:id="554" w:name="Tc_jJhWS1TZtkeMxHT-Y1LUgA_4_13"/>
      <w:bookmarkStart w:id="555" w:name="Tc_PZCebXA2PkuU7wHutFO33g_4_7"/>
      <w:bookmarkStart w:id="556" w:name="Tc_rnXixQdBlUK4E_PPOu1mgw_4_2"/>
      <w:bookmarkStart w:id="557" w:name="Tc_oB86McGCGkesWEV8rg-D7w_3_13"/>
      <w:bookmarkStart w:id="558" w:name="Tc_VGIzZWRU70yZmUPXT7wSAQ_2_2"/>
      <w:bookmarkStart w:id="559" w:name="Tc_qDNlr0oFL0Kh2kwTwuWNSQ_1_2"/>
      <w:bookmarkStart w:id="560" w:name="_8a6bf3cd_9eed_4b0e_85d2_abfaa38c992a"/>
      <w:bookmarkStart w:id="561" w:name="Tc_azpaDg1omECIUNvZfSdhSw_20_16"/>
      <w:bookmarkStart w:id="562" w:name="Tc_OGcOKvLUZ0aqMzAYQ7KiVA_20_13"/>
      <w:bookmarkStart w:id="563" w:name="Tc_-0zEQrgBR0y416Uqp_LlaA_20_10"/>
      <w:bookmarkStart w:id="564" w:name="Tc__q4rBXYdLUqN9IMnUO6I5w_20_7"/>
      <w:bookmarkStart w:id="565" w:name="Tc_ajWM8t4r90eJ_QYu8rkqFQ_20_4"/>
      <w:bookmarkStart w:id="566" w:name="Tc_c803pRJF2kuBmKxjD8wWuA_20_0"/>
      <w:bookmarkStart w:id="567" w:name="Tc_7dALThqEq0OWm24NmQc1Fw_19_14"/>
      <w:bookmarkStart w:id="568" w:name="Tc_Tpt615yQE02N-9AM2WSm7g_19_11"/>
      <w:bookmarkStart w:id="569" w:name="Tc_MTIFxtjxzkq_Pqys22qA_A_19_5"/>
      <w:bookmarkStart w:id="570" w:name="Tc_pOSCyMrJKk2RDtOs4oELRQ_19_0"/>
      <w:bookmarkStart w:id="571" w:name="Tc_Ovk8POU7qkesesOrJXjUDQ_18_11"/>
      <w:bookmarkStart w:id="572" w:name="Tc_luVYpo3B80-m7tJ9xGpVnQ_18_8"/>
      <w:bookmarkStart w:id="573" w:name="Tc_nmQjSNEqG0un3_EyzHajVg_18_5"/>
      <w:bookmarkStart w:id="574" w:name="Tc_Q39oTQlB0UqbdNk7sv_nxA_18_2"/>
      <w:bookmarkStart w:id="575" w:name="Tc_6NMPLAF83kueDycq64a3Vg_18_0"/>
      <w:bookmarkStart w:id="576" w:name="Tc_lxVB7-8nKEqsauLWNPQ5Gw_17_11"/>
      <w:bookmarkStart w:id="577" w:name="Tc_qlc7TS9jVUafbtHDzATBbA_17_8"/>
      <w:bookmarkStart w:id="578" w:name="Tc_kWZWbfYxeka91c-9RrMPBQ_17_5"/>
      <w:bookmarkStart w:id="579" w:name="Tc_Xa-XEHMdS0GLvzSGTiNnbw_17_2"/>
      <w:bookmarkStart w:id="580" w:name="Tc_IV57hRpW0EyF5Ke9msPCfw_17_0"/>
      <w:bookmarkStart w:id="581" w:name="Tc_UIEXQqg9bk-zynp6-xA7Lg_16_14"/>
      <w:bookmarkStart w:id="582" w:name="Tc_40iROYgYXEawoQY9Ru4uTQ_16_8"/>
      <w:bookmarkStart w:id="583" w:name="Tc_wBeKIEF8qk-duDQlszclHw_16_5"/>
      <w:bookmarkStart w:id="584" w:name="Tc_slPZETweFUy3DHd6gVElCw_16_2"/>
      <w:bookmarkStart w:id="585" w:name="Tc_wfbde9mf3kWq7xkL7XPacQ_16_0"/>
      <w:bookmarkStart w:id="586" w:name="Tc_ep5xbVge_E-m4HzYXMj9Rg_15_16"/>
      <w:bookmarkStart w:id="587" w:name="Tc_2KMDyJg75kGywVIzQt6GqA_15_13"/>
      <w:bookmarkStart w:id="588" w:name="Tc_MZOmkzMg2kawmVJ2370nzA_15_10"/>
      <w:bookmarkStart w:id="589" w:name="Tc_iprdrT3h3EmHstCYMgAA2w_15_7"/>
      <w:bookmarkStart w:id="590" w:name="Tc_7GJ2br2pXkCUMAkesOIoTA_15_4"/>
      <w:bookmarkStart w:id="591" w:name="Tc_bFZSP14b50KMPKCUjXGQsg_15_0"/>
      <w:bookmarkStart w:id="592" w:name="Tc_epXnrWHYTUGfbzisOa8ErQ_13_16"/>
      <w:bookmarkStart w:id="593" w:name="Tc_Oq0JzgRz9kCTANe8Rn8GtQ_13_13"/>
      <w:bookmarkStart w:id="594" w:name="Tc_MQ1kiJZUAUuPAnl_UKw2Yg_13_10"/>
      <w:bookmarkStart w:id="595" w:name="Tc_Y5GnWqfIwkGWBQL3a1HT4g_13_7"/>
      <w:bookmarkStart w:id="596" w:name="Tc_puIg7xaIuke8Aw_iUZikug_13_4"/>
      <w:bookmarkStart w:id="597" w:name="Tc_PzPTFz4pukChzwRwnZmB2w_13_0"/>
      <w:bookmarkStart w:id="598" w:name="Tc__g9wsnaXFEeSOuPyCBQj8Q_12_14"/>
      <w:bookmarkStart w:id="599" w:name="Tc_IQ6IxYHrX0iUqTqyS49MwQ_12_11"/>
      <w:bookmarkStart w:id="600" w:name="Tc_u1HB3jdUiEmnLfj-lnGB2A_12_0"/>
      <w:bookmarkStart w:id="601" w:name="Tc_pBfG4qooSU-vCmZUydcSlA_11_14"/>
      <w:bookmarkStart w:id="602" w:name="Tc_jigvluaDik-cUDDuDju-Rw_11_11"/>
      <w:bookmarkStart w:id="603" w:name="Tc_E-XnfZthYEKw-uOzVTnt1g_11_5"/>
      <w:bookmarkStart w:id="604" w:name="Tc_WUEp12D5z060wFtm9aU-VA_11_2"/>
      <w:bookmarkStart w:id="605" w:name="Tc_MGW9I1q260G-_D4FpHOXOQ_11_0"/>
      <w:bookmarkStart w:id="606" w:name="Tc_hkdPSgqbSkaVPLEjZcUY8Q_10_11"/>
      <w:bookmarkStart w:id="607" w:name="Tc_r8ohA0-FlU6alq7uVgIE8A_10_8"/>
      <w:bookmarkStart w:id="608" w:name="Tc_4W3CCRV2wkmrAW1lWPk_rQ_10_5"/>
      <w:bookmarkStart w:id="609" w:name="Tc_gip-xlmEJku7Vog3_mUKvQ_10_2"/>
      <w:bookmarkStart w:id="610" w:name="Tc_iy4S8kMvEkSdsTOJweCwMw_10_0"/>
      <w:bookmarkStart w:id="611" w:name="Tc_mDO_4RJVvEWhQACyoNSOEg_9_11"/>
      <w:bookmarkStart w:id="612" w:name="Tc_a_SirtlwhU-DJwHN1J-0Tw_9_8"/>
      <w:bookmarkStart w:id="613" w:name="Tc_pOeiBSd3xkav2l9x_tYYrQ_9_5"/>
      <w:bookmarkStart w:id="614" w:name="Tc_wopzS4x4eE6UgbtugfrFDw_9_2"/>
      <w:bookmarkStart w:id="615" w:name="Tc_-YJoZYnAm0Ot_4HvutxZMA_9_0"/>
      <w:bookmarkStart w:id="616" w:name="Tc_qm3Vd-JL-kCR-jPq5r8WZA_8_14"/>
      <w:bookmarkStart w:id="617" w:name="Tc_LWtWCWslJkKtbKmxYFkDvw_8_8"/>
      <w:bookmarkStart w:id="618" w:name="Tc_53tk1Oq8pkWtEWvJGm2-Zw_8_5"/>
      <w:bookmarkStart w:id="619" w:name="Tc_Q1JY8GLcSEaaLQK0C0FQgA_8_2"/>
      <w:bookmarkStart w:id="620" w:name="Tc_XC471JxZdkqdH6KvwKcPNg_8_0"/>
      <w:bookmarkStart w:id="621" w:name="Tc_lKhQUR8iN0GI3hYLBMF4PQ_7_16"/>
      <w:bookmarkStart w:id="622" w:name="Tc_Jis8X5VfvEiuZ8aeZRJKGw_7_13"/>
      <w:bookmarkStart w:id="623" w:name="Tc_XmZmFzyO1ESe675DUHUALw_7_10"/>
      <w:bookmarkStart w:id="624" w:name="Tc_2sGdPUMYxkyBFjvZJ3PD8A_7_7"/>
      <w:bookmarkStart w:id="625" w:name="Tc_wUo2ueqsGUq-CxxKpmE32A_7_4"/>
      <w:bookmarkStart w:id="626" w:name="Tc_RPZUKlHWpUai4cdz8KO8iw_7_0"/>
      <w:bookmarkStart w:id="627" w:name="Tc_C5s67SAQVkSyEoVldRrixQ_6_16"/>
      <w:bookmarkStart w:id="628" w:name="Tc_jJ9tbvrGbkOdlDvWt2A4Dw_6_13"/>
      <w:bookmarkStart w:id="629" w:name="Tc_5oe3a-QlvEyAE_RN-NG9tQ_6_10"/>
      <w:bookmarkStart w:id="630" w:name="Tc_PKqlkx9FjUSTKFIHGXSEpg_6_7"/>
      <w:bookmarkStart w:id="631" w:name="Tc_SzXyumyVTUaDf_z7Wp5p3A_6_4"/>
      <w:bookmarkStart w:id="632" w:name="Tc_jRxqFKiFKEyCVjyfu0OrZA_6_2"/>
      <w:bookmarkStart w:id="633" w:name="Tc_9ddMgrq4eE2_IbI2cv8r3w_6_0"/>
      <w:bookmarkStart w:id="634" w:name="Tc_gXS4CY_YS0mJIehAyXLu2Q_5_13"/>
      <w:bookmarkStart w:id="635" w:name="Tc_AFLXNf6NB0itAt1gYUD5BQ_5_10"/>
      <w:bookmarkStart w:id="636" w:name="Tc_AeYj_gMToEu7puNvkqJUpA_5_7"/>
      <w:bookmarkStart w:id="637" w:name="Tc_79YtOY_Oe0iwTiU5RoKgrg_5_2"/>
      <w:bookmarkStart w:id="638" w:name="Tc_jJhWS1TZtkeMxHT-Y1LUgA_4_13"/>
      <w:bookmarkStart w:id="639" w:name="Tc_PZCebXA2PkuU7wHutFO33g_4_7"/>
      <w:bookmarkStart w:id="640" w:name="Tc_rnXixQdBlUK4E_PPOu1mgw_4_2"/>
      <w:bookmarkStart w:id="641" w:name="Tc_oB86McGCGkesWEV8rg-D7w_3_13"/>
      <w:bookmarkStart w:id="642" w:name="Tc_VGIzZWRU70yZmUPXT7wSAQ_2_2"/>
      <w:bookmarkStart w:id="643" w:name="Tc_qDNlr0oFL0Kh2kwTwuWNSQ_1_2"/>
      <w:bookmarkStart w:id="644" w:name="_8a6bf3cd_9eed_4b0e_85d2_abfaa38c992a"/>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tbl>
      <w:tblPr>
        <w:tblW w:w="10205" w:type="dxa"/>
        <w:jc w:val="left"/>
        <w:tblInd w:w="0" w:type="dxa"/>
        <w:tblLayout w:type="fixed"/>
        <w:tblCellMar>
          <w:top w:w="0" w:type="dxa"/>
          <w:left w:w="0" w:type="dxa"/>
          <w:bottom w:w="0" w:type="dxa"/>
          <w:right w:w="0" w:type="dxa"/>
        </w:tblCellMar>
      </w:tblPr>
      <w:tblGrid>
        <w:gridCol w:w="2181"/>
        <w:gridCol w:w="346"/>
        <w:gridCol w:w="1081"/>
        <w:gridCol w:w="346"/>
        <w:gridCol w:w="257"/>
        <w:gridCol w:w="494"/>
        <w:gridCol w:w="346"/>
        <w:gridCol w:w="228"/>
        <w:gridCol w:w="703"/>
        <w:gridCol w:w="346"/>
        <w:gridCol w:w="196"/>
        <w:gridCol w:w="691"/>
        <w:gridCol w:w="346"/>
        <w:gridCol w:w="298"/>
        <w:gridCol w:w="1008"/>
        <w:gridCol w:w="346"/>
        <w:gridCol w:w="196"/>
        <w:gridCol w:w="796"/>
      </w:tblGrid>
      <w:tr>
        <w:trPr/>
        <w:tc>
          <w:tcPr>
            <w:tcW w:w="2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84935" cy="175260"/>
                      <wp:effectExtent l="0" t="0" r="0" b="0"/>
                      <wp:wrapNone/>
                      <wp:docPr id="46" name="Frame46"/>
                      <a:graphic xmlns:a="http://schemas.openxmlformats.org/drawingml/2006/main">
                        <a:graphicData uri="http://schemas.microsoft.com/office/word/2010/wordprocessingShape">
                          <wps:wsp>
                            <wps:cNvSpPr txBox="1"/>
                            <wps:spPr>
                              <a:xfrm>
                                <a:off x="0" y="0"/>
                                <a:ext cx="138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86435" cy="175260"/>
                      <wp:effectExtent l="0" t="0" r="0" b="0"/>
                      <wp:wrapNone/>
                      <wp:docPr id="48" name="Frame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3195" cy="175260"/>
                      <wp:effectExtent l="0" t="0" r="0" b="0"/>
                      <wp:wrapNone/>
                      <wp:docPr id="50" name="Frame50"/>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13690" cy="175260"/>
                      <wp:effectExtent l="0" t="0" r="0" b="0"/>
                      <wp:wrapNone/>
                      <wp:docPr id="51" name="Frame51"/>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4780" cy="175260"/>
                      <wp:effectExtent l="0" t="0" r="0" b="0"/>
                      <wp:wrapNone/>
                      <wp:docPr id="53" name="Frame5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46405" cy="175260"/>
                      <wp:effectExtent l="0" t="0" r="0" b="0"/>
                      <wp:wrapNone/>
                      <wp:docPr id="54" name="Frame54"/>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38785" cy="175260"/>
                      <wp:effectExtent l="0" t="0" r="0" b="0"/>
                      <wp:wrapNone/>
                      <wp:docPr id="57" name="Frame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9230" cy="175260"/>
                      <wp:effectExtent l="0" t="0" r="0" b="0"/>
                      <wp:wrapNone/>
                      <wp:docPr id="59" name="Frame59"/>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0080" cy="175260"/>
                      <wp:effectExtent l="0" t="0" r="0" b="0"/>
                      <wp:wrapNone/>
                      <wp:docPr id="60" name="Frame60"/>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5460" cy="175260"/>
                      <wp:effectExtent l="0" t="0" r="0" b="0"/>
                      <wp:wrapNone/>
                      <wp:docPr id="63"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78" w:type="dxa"/>
            <w:gridSpan w:val="1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July 31, 2026 and 2025</w:t>
            </w:r>
          </w:p>
        </w:tc>
      </w:tr>
      <w:tr>
        <w:trPr/>
        <w:tc>
          <w:tcPr>
            <w:tcW w:w="2181" w:type="dxa"/>
            <w:tcBorders/>
            <w:vAlign w:val="center"/>
          </w:tcPr>
          <w:p>
            <w:pPr>
              <w:pStyle w:val="TableContents"/>
              <w:bidi w:val="0"/>
              <w:spacing w:before="0" w:after="0"/>
              <w:ind w:left="0" w:right="0" w:hanging="0"/>
              <w:jc w:val="left"/>
              <w:rPr>
                <w:color w:val="0563C1"/>
              </w:rPr>
            </w:pPr>
            <w:r>
              <w:rPr>
                <w:color w:val="0563C1"/>
              </w:rPr>
              <w:t>​</w:t>
            </w:r>
          </w:p>
        </w:tc>
        <w:tc>
          <w:tcPr>
            <w:tcW w:w="346" w:type="dxa"/>
            <w:tcBorders/>
            <w:vAlign w:val="center"/>
          </w:tcPr>
          <w:p>
            <w:pPr>
              <w:pStyle w:val="TableContents"/>
              <w:bidi w:val="0"/>
              <w:spacing w:before="0" w:after="0"/>
              <w:ind w:left="0" w:right="0" w:hanging="0"/>
              <w:jc w:val="left"/>
              <w:rPr/>
            </w:pPr>
            <w:r>
              <w:rPr/>
              <w:t>​</w:t>
            </w:r>
          </w:p>
        </w:tc>
        <w:tc>
          <w:tcPr>
            <w:tcW w:w="7678" w:type="dxa"/>
            <w:gridSpan w:val="16"/>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tc>
      </w:tr>
      <w:tr>
        <w:trPr/>
        <w:tc>
          <w:tcPr>
            <w:tcW w:w="2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4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(unaudited)</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46" w:type="dxa"/>
            <w:tcBorders/>
            <w:vAlign w:val="center"/>
          </w:tcPr>
          <w:p>
            <w:pPr>
              <w:pStyle w:val="TableContents"/>
              <w:bidi w:val="0"/>
              <w:spacing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0"/>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346" w:type="dxa"/>
            <w:tcBorders/>
            <w:vAlign w:val="center"/>
          </w:tcPr>
          <w:p>
            <w:pPr>
              <w:pStyle w:val="TableContents"/>
              <w:bidi w:val="0"/>
              <w:spacing w:before="0" w:after="0"/>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Income (Loss)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Balances, April 30, 2025</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6,506,868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153,039</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202,280</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(3,693)</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(3,693)</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6,310</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valuation allowances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 net of taxes withheld for vested restricted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 </w:t>
            </w:r>
          </w:p>
        </w:tc>
        <w:tc>
          <w:tcPr>
            <w:tcW w:w="100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(104,472)</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Balances, July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6,402,396</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60,781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149,346</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203,672</w:t>
            </w:r>
          </w:p>
        </w:tc>
      </w:tr>
      <w:tr>
        <w:trPr/>
        <w:tc>
          <w:tcPr>
            <w:tcW w:w="2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Balances, April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6,484,478</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61,637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140,465</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(10,331)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192,419</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2,314</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49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(2,996)</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 valuation allowances</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49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r>
      <w:tr>
        <w:trPr/>
        <w:tc>
          <w:tcPr>
            <w:tcW w:w="21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 net of taxes withheld for vested restricted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(8,156)</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576</w:t>
            </w:r>
          </w:p>
        </w:tc>
      </w:tr>
      <w:tr>
        <w:trPr/>
        <w:tc>
          <w:tcPr>
            <w:tcW w:w="218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Balances, July 31, 2026</w:t>
            </w:r>
          </w:p>
        </w:tc>
        <w:tc>
          <w:tcPr>
            <w:tcW w:w="346" w:type="dxa"/>
            <w:tcBorders/>
            <w:vAlign w:val="center"/>
          </w:tcPr>
          <w:p>
            <w:pPr>
              <w:pStyle w:val="TableContents"/>
              <w:bidi w:val="0"/>
              <w:spacing w:before="0" w:after="0"/>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6,476,322</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62,213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142,779</w:t>
            </w:r>
          </w:p>
        </w:tc>
        <w:tc>
          <w:tcPr>
            <w:tcW w:w="346" w:type="dxa"/>
            <w:tcBorders/>
            <w:vAlign w:val="center"/>
          </w:tcPr>
          <w:p>
            <w:pPr>
              <w:pStyle w:val="TableContents"/>
              <w:bidi w:val="0"/>
              <w:spacing w:before="0" w:after="0"/>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(13,351)</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192,289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45" w:name="Tc_B-J0TiZEkUuRyFdaWDjcSg_20_16"/>
      <w:bookmarkStart w:id="646" w:name="Tc_qtZLP7QX506QK2RW5zSlhA_20_13"/>
      <w:bookmarkStart w:id="647" w:name="Tc_kRxHMRzTI0mvtjFF4ZVaXQ_20_10"/>
      <w:bookmarkStart w:id="648" w:name="Tc_QYenFrWbyEqrdUPufl140w_20_7"/>
      <w:bookmarkStart w:id="649" w:name="Tc_-gD4Kq3wLESFsxtPKozx3g_20_4"/>
      <w:bookmarkStart w:id="650" w:name="Tc_caIknHSiNEmdo83fF6X-Hw_20_0"/>
      <w:bookmarkStart w:id="651" w:name="Tc_tkg3WNMdDEaZlBWggQUaTw_19_14"/>
      <w:bookmarkStart w:id="652" w:name="Tc_qpteCtaCv0CKS7AZUsrneA_19_11"/>
      <w:bookmarkStart w:id="653" w:name="Tc_KnEp5SnGWEqAY0dm-65Dtw_19_0"/>
      <w:bookmarkStart w:id="654" w:name="Tc_9RZoO02C60qQQUdHkzbYYw_18_11"/>
      <w:bookmarkStart w:id="655" w:name="Tc_Ko_5tpHtDUGJeDgZxjYieQ_18_8"/>
      <w:bookmarkStart w:id="656" w:name="Tc_ZpTNtPJuIUmScq3pCe-4Ag_18_5"/>
      <w:bookmarkStart w:id="657" w:name="Tc_oMm7BqsY-EyTv4go-s5Rvw_18_2"/>
      <w:bookmarkStart w:id="658" w:name="Tc_o8bqIs3cmUSqAF9rNSyoog_18_0"/>
      <w:bookmarkStart w:id="659" w:name="Tc_j7fCDDAusUK6qSt_EbGKvg_17_11"/>
      <w:bookmarkStart w:id="660" w:name="Tc_Z5UXAXhRL06WwjPv2CsraQ_17_8"/>
      <w:bookmarkStart w:id="661" w:name="Tc_j9TovRUomkGsD6CO0sQqWg_17_5"/>
      <w:bookmarkStart w:id="662" w:name="Tc_8JYijP8cSkm-eOHpgHNVgg_17_2"/>
      <w:bookmarkStart w:id="663" w:name="Tc_KOJTtF31wkW-4SbOrZhuJw_17_0"/>
      <w:bookmarkStart w:id="664" w:name="Tc_XGQknIrEkk2BVUJzToR5gQ_16_14"/>
      <w:bookmarkStart w:id="665" w:name="Tc_zg6Bs5VnkE-D-xyo-qp_pA_16_8"/>
      <w:bookmarkStart w:id="666" w:name="Tc_hZ_3Av2vzkSspbHsFEVnJA_16_5"/>
      <w:bookmarkStart w:id="667" w:name="Tc_3alpOvWRTECEhB57IMRDbw_16_2"/>
      <w:bookmarkStart w:id="668" w:name="Tc_s1VmTmxELEeM2s8K4nzrdA_16_0"/>
      <w:bookmarkStart w:id="669" w:name="Tc_d8ZA3fXkSE6C0CHJzIui_Q_15_16"/>
      <w:bookmarkStart w:id="670" w:name="Tc_DktZbgrrHEuq9Bo9KAepZw_15_13"/>
      <w:bookmarkStart w:id="671" w:name="Tc_HwH96Itpw02Jh87X6GlMvw_15_10"/>
      <w:bookmarkStart w:id="672" w:name="Tc_HsBCg06Iz0eNFG5lJp-a1A_15_7"/>
      <w:bookmarkStart w:id="673" w:name="Tc_SYTQNbbDnk-M3SgnjUaGkQ_15_4"/>
      <w:bookmarkStart w:id="674" w:name="Tc_rngVHQf2F060qUSdP0VD-g_15_0"/>
      <w:bookmarkStart w:id="675" w:name="Tc_7Lus_ceMtEOWPNYOd-DEMg_13_16"/>
      <w:bookmarkStart w:id="676" w:name="Tc_VOTE4bHqc064ycjYTyDbDw_13_13"/>
      <w:bookmarkStart w:id="677" w:name="Tc_I1BnjLxn6EyWHly9OxaPkA_13_10"/>
      <w:bookmarkStart w:id="678" w:name="Tc_590J-7SC10C1nWaLogTbcg_13_7"/>
      <w:bookmarkStart w:id="679" w:name="Tc_n2acg9tn50CYPwZ9dJkNLA_13_4"/>
      <w:bookmarkStart w:id="680" w:name="Tc_QmTYI3CkD02VtXJtkgyjOw_13_0"/>
      <w:bookmarkStart w:id="681" w:name="Tc_ikzGTyo85ke4kLKE319JOw_12_14"/>
      <w:bookmarkStart w:id="682" w:name="Tc_Sp0SNoLkHEWz0MTVYq3EwA_12_11"/>
      <w:bookmarkStart w:id="683" w:name="Tc_fLkUQem9HkuF2T1NXjZ1TQ_12_0"/>
      <w:bookmarkStart w:id="684" w:name="Tc_2RDBcXKHLE6DWYmYyjXZpg_11_14"/>
      <w:bookmarkStart w:id="685" w:name="Tc__htfAvwDc06ckxo9QGFJmA_11_11"/>
      <w:bookmarkStart w:id="686" w:name="Tc_wK5fK8F_MUmQBEcysRAgow_11_0"/>
      <w:bookmarkStart w:id="687" w:name="Tc_LWDSRM8CgEq2sGNeC9rYgQ_10_11"/>
      <w:bookmarkStart w:id="688" w:name="Tc_r2zr5U8WNUaXq9D4aBpMsw_10_8"/>
      <w:bookmarkStart w:id="689" w:name="Tc_tQmdh5_Hi0ytTZZtlkceIQ_10_5"/>
      <w:bookmarkStart w:id="690" w:name="Tc_gZ6vdfobNU6j0LqdmzCWOw_10_2"/>
      <w:bookmarkStart w:id="691" w:name="Tc_Q1cPtkaTq06P1Q0alJfpGg_10_0"/>
      <w:bookmarkStart w:id="692" w:name="Tc_sM_axzY-R06KMyGsdNb89Q_9_11"/>
      <w:bookmarkStart w:id="693" w:name="Tc_j6wVLc2oqk2l3VcZC0ctMw_9_8"/>
      <w:bookmarkStart w:id="694" w:name="Tc_e_WUi54NP02_z29GDOxArw_9_5"/>
      <w:bookmarkStart w:id="695" w:name="Tc_CPDa7lTWSEKvUAcOc4v5Dg_9_2"/>
      <w:bookmarkStart w:id="696" w:name="Tc_E-9b2OOjbkyLHRhpn_7aRA_9_0"/>
      <w:bookmarkStart w:id="697" w:name="Tc_9xrsdd3UC0-5XJSEHBHUdw_8_14"/>
      <w:bookmarkStart w:id="698" w:name="Tc_zxZq543RjUiLjaHLho10ow_8_8"/>
      <w:bookmarkStart w:id="699" w:name="Tc_f0CdCeyND0qOunVzGUf-2g_8_5"/>
      <w:bookmarkStart w:id="700" w:name="Tc_WKN1BIEocEK2WfZr5qQWfg_8_2"/>
      <w:bookmarkStart w:id="701" w:name="Tc_SeXaWQER7Uysk7bO2urZZg_8_0"/>
      <w:bookmarkStart w:id="702" w:name="Tc_x-E9aSVYlUu33tcBlvEPAw_7_16"/>
      <w:bookmarkStart w:id="703" w:name="Tc_K_mj7xcSa0CBInrdeQ164g_7_13"/>
      <w:bookmarkStart w:id="704" w:name="Tc_fXv6stFxe0OK_hZA7hSFQQ_7_10"/>
      <w:bookmarkStart w:id="705" w:name="Tc_l0fnESjdPU2c38YbFG8IRw_7_7"/>
      <w:bookmarkStart w:id="706" w:name="Tc_F30aGOY6LkG22oXZqVRWtw_7_4"/>
      <w:bookmarkStart w:id="707" w:name="Tc_EJoPmfM0-Eu4tWGesPj4Bw_7_0"/>
      <w:bookmarkStart w:id="708" w:name="Tc_70B2wiw2qUCPWXcF2LsMKg_6_16"/>
      <w:bookmarkStart w:id="709" w:name="Tc_LXYN2zhV2UKVk8Z8igLMJw_6_13"/>
      <w:bookmarkStart w:id="710" w:name="Tc_DSbjxFZgjUGLiClIIZpzCA_6_10"/>
      <w:bookmarkStart w:id="711" w:name="Tc_EpZZhUc-3UGHmBI9DtJiCA_6_7"/>
      <w:bookmarkStart w:id="712" w:name="Tc_6GrIT-4IKUOl-D7b0oqw2A_6_4"/>
      <w:bookmarkStart w:id="713" w:name="Tc_DR6Azi1N40GuknNYTUmmmw_6_2"/>
      <w:bookmarkStart w:id="714" w:name="Tc_hF-jUSi11kOJLPE58hRz8w_5_13"/>
      <w:bookmarkStart w:id="715" w:name="Tc_3pvFWdE0tUWJfRURkjAOuw_5_10"/>
      <w:bookmarkStart w:id="716" w:name="Tc_haiIS5v5vUWVdq0oF2wRsg_5_7"/>
      <w:bookmarkStart w:id="717" w:name="Tc_C-64v90zL0yCzycyVJzuYg_5_2"/>
      <w:bookmarkStart w:id="718" w:name="Tc_oTwHHZi23k-5VjO92gbimQ_4_13"/>
      <w:bookmarkStart w:id="719" w:name="Tc_upJEVQ92jk6Qin2Qb94C9A_4_7"/>
      <w:bookmarkStart w:id="720" w:name="Tc_spVjZwsN7k6v7KXSMPpsgA_4_2"/>
      <w:bookmarkStart w:id="721" w:name="Tc_9dLbcEjFEUi3GRo-UmZGZA_3_13"/>
      <w:bookmarkStart w:id="722" w:name="Tc_Q-U6GB4wpkGHuMPghQg7cQ_2_2"/>
      <w:bookmarkStart w:id="723" w:name="Tc_2vui-7YLi0WVxnYOKbBw9g_1_2"/>
      <w:bookmarkStart w:id="724" w:name="_845c2fd7_ba02_4533_a626_318506c6bb1e"/>
      <w:bookmarkStart w:id="725" w:name="Tc_B-J0TiZEkUuRyFdaWDjcSg_20_16"/>
      <w:bookmarkStart w:id="726" w:name="Tc_qtZLP7QX506QK2RW5zSlhA_20_13"/>
      <w:bookmarkStart w:id="727" w:name="Tc_kRxHMRzTI0mvtjFF4ZVaXQ_20_10"/>
      <w:bookmarkStart w:id="728" w:name="Tc_QYenFrWbyEqrdUPufl140w_20_7"/>
      <w:bookmarkStart w:id="729" w:name="Tc_-gD4Kq3wLESFsxtPKozx3g_20_4"/>
      <w:bookmarkStart w:id="730" w:name="Tc_caIknHSiNEmdo83fF6X-Hw_20_0"/>
      <w:bookmarkStart w:id="731" w:name="Tc_tkg3WNMdDEaZlBWggQUaTw_19_14"/>
      <w:bookmarkStart w:id="732" w:name="Tc_qpteCtaCv0CKS7AZUsrneA_19_11"/>
      <w:bookmarkStart w:id="733" w:name="Tc_KnEp5SnGWEqAY0dm-65Dtw_19_0"/>
      <w:bookmarkStart w:id="734" w:name="Tc_9RZoO02C60qQQUdHkzbYYw_18_11"/>
      <w:bookmarkStart w:id="735" w:name="Tc_Ko_5tpHtDUGJeDgZxjYieQ_18_8"/>
      <w:bookmarkStart w:id="736" w:name="Tc_ZpTNtPJuIUmScq3pCe-4Ag_18_5"/>
      <w:bookmarkStart w:id="737" w:name="Tc_oMm7BqsY-EyTv4go-s5Rvw_18_2"/>
      <w:bookmarkStart w:id="738" w:name="Tc_o8bqIs3cmUSqAF9rNSyoog_18_0"/>
      <w:bookmarkStart w:id="739" w:name="Tc_j7fCDDAusUK6qSt_EbGKvg_17_11"/>
      <w:bookmarkStart w:id="740" w:name="Tc_Z5UXAXhRL06WwjPv2CsraQ_17_8"/>
      <w:bookmarkStart w:id="741" w:name="Tc_j9TovRUomkGsD6CO0sQqWg_17_5"/>
      <w:bookmarkStart w:id="742" w:name="Tc_8JYijP8cSkm-eOHpgHNVgg_17_2"/>
      <w:bookmarkStart w:id="743" w:name="Tc_KOJTtF31wkW-4SbOrZhuJw_17_0"/>
      <w:bookmarkStart w:id="744" w:name="Tc_XGQknIrEkk2BVUJzToR5gQ_16_14"/>
      <w:bookmarkStart w:id="745" w:name="Tc_zg6Bs5VnkE-D-xyo-qp_pA_16_8"/>
      <w:bookmarkStart w:id="746" w:name="Tc_hZ_3Av2vzkSspbHsFEVnJA_16_5"/>
      <w:bookmarkStart w:id="747" w:name="Tc_3alpOvWRTECEhB57IMRDbw_16_2"/>
      <w:bookmarkStart w:id="748" w:name="Tc_s1VmTmxELEeM2s8K4nzrdA_16_0"/>
      <w:bookmarkStart w:id="749" w:name="Tc_d8ZA3fXkSE6C0CHJzIui_Q_15_16"/>
      <w:bookmarkStart w:id="750" w:name="Tc_DktZbgrrHEuq9Bo9KAepZw_15_13"/>
      <w:bookmarkStart w:id="751" w:name="Tc_HwH96Itpw02Jh87X6GlMvw_15_10"/>
      <w:bookmarkStart w:id="752" w:name="Tc_HsBCg06Iz0eNFG5lJp-a1A_15_7"/>
      <w:bookmarkStart w:id="753" w:name="Tc_SYTQNbbDnk-M3SgnjUaGkQ_15_4"/>
      <w:bookmarkStart w:id="754" w:name="Tc_rngVHQf2F060qUSdP0VD-g_15_0"/>
      <w:bookmarkStart w:id="755" w:name="Tc_7Lus_ceMtEOWPNYOd-DEMg_13_16"/>
      <w:bookmarkStart w:id="756" w:name="Tc_VOTE4bHqc064ycjYTyDbDw_13_13"/>
      <w:bookmarkStart w:id="757" w:name="Tc_I1BnjLxn6EyWHly9OxaPkA_13_10"/>
      <w:bookmarkStart w:id="758" w:name="Tc_590J-7SC10C1nWaLogTbcg_13_7"/>
      <w:bookmarkStart w:id="759" w:name="Tc_n2acg9tn50CYPwZ9dJkNLA_13_4"/>
      <w:bookmarkStart w:id="760" w:name="Tc_QmTYI3CkD02VtXJtkgyjOw_13_0"/>
      <w:bookmarkStart w:id="761" w:name="Tc_ikzGTyo85ke4kLKE319JOw_12_14"/>
      <w:bookmarkStart w:id="762" w:name="Tc_Sp0SNoLkHEWz0MTVYq3EwA_12_11"/>
      <w:bookmarkStart w:id="763" w:name="Tc_fLkUQem9HkuF2T1NXjZ1TQ_12_0"/>
      <w:bookmarkStart w:id="764" w:name="Tc_2RDBcXKHLE6DWYmYyjXZpg_11_14"/>
      <w:bookmarkStart w:id="765" w:name="Tc__htfAvwDc06ckxo9QGFJmA_11_11"/>
      <w:bookmarkStart w:id="766" w:name="Tc_wK5fK8F_MUmQBEcysRAgow_11_0"/>
      <w:bookmarkStart w:id="767" w:name="Tc_LWDSRM8CgEq2sGNeC9rYgQ_10_11"/>
      <w:bookmarkStart w:id="768" w:name="Tc_r2zr5U8WNUaXq9D4aBpMsw_10_8"/>
      <w:bookmarkStart w:id="769" w:name="Tc_tQmdh5_Hi0ytTZZtlkceIQ_10_5"/>
      <w:bookmarkStart w:id="770" w:name="Tc_gZ6vdfobNU6j0LqdmzCWOw_10_2"/>
      <w:bookmarkStart w:id="771" w:name="Tc_Q1cPtkaTq06P1Q0alJfpGg_10_0"/>
      <w:bookmarkStart w:id="772" w:name="Tc_sM_axzY-R06KMyGsdNb89Q_9_11"/>
      <w:bookmarkStart w:id="773" w:name="Tc_j6wVLc2oqk2l3VcZC0ctMw_9_8"/>
      <w:bookmarkStart w:id="774" w:name="Tc_e_WUi54NP02_z29GDOxArw_9_5"/>
      <w:bookmarkStart w:id="775" w:name="Tc_CPDa7lTWSEKvUAcOc4v5Dg_9_2"/>
      <w:bookmarkStart w:id="776" w:name="Tc_E-9b2OOjbkyLHRhpn_7aRA_9_0"/>
      <w:bookmarkStart w:id="777" w:name="Tc_9xrsdd3UC0-5XJSEHBHUdw_8_14"/>
      <w:bookmarkStart w:id="778" w:name="Tc_zxZq543RjUiLjaHLho10ow_8_8"/>
      <w:bookmarkStart w:id="779" w:name="Tc_f0CdCeyND0qOunVzGUf-2g_8_5"/>
      <w:bookmarkStart w:id="780" w:name="Tc_WKN1BIEocEK2WfZr5qQWfg_8_2"/>
      <w:bookmarkStart w:id="781" w:name="Tc_SeXaWQER7Uysk7bO2urZZg_8_0"/>
      <w:bookmarkStart w:id="782" w:name="Tc_x-E9aSVYlUu33tcBlvEPAw_7_16"/>
      <w:bookmarkStart w:id="783" w:name="Tc_K_mj7xcSa0CBInrdeQ164g_7_13"/>
      <w:bookmarkStart w:id="784" w:name="Tc_fXv6stFxe0OK_hZA7hSFQQ_7_10"/>
      <w:bookmarkStart w:id="785" w:name="Tc_l0fnESjdPU2c38YbFG8IRw_7_7"/>
      <w:bookmarkStart w:id="786" w:name="Tc_F30aGOY6LkG22oXZqVRWtw_7_4"/>
      <w:bookmarkStart w:id="787" w:name="Tc_EJoPmfM0-Eu4tWGesPj4Bw_7_0"/>
      <w:bookmarkStart w:id="788" w:name="Tc_70B2wiw2qUCPWXcF2LsMKg_6_16"/>
      <w:bookmarkStart w:id="789" w:name="Tc_LXYN2zhV2UKVk8Z8igLMJw_6_13"/>
      <w:bookmarkStart w:id="790" w:name="Tc_DSbjxFZgjUGLiClIIZpzCA_6_10"/>
      <w:bookmarkStart w:id="791" w:name="Tc_EpZZhUc-3UGHmBI9DtJiCA_6_7"/>
      <w:bookmarkStart w:id="792" w:name="Tc_6GrIT-4IKUOl-D7b0oqw2A_6_4"/>
      <w:bookmarkStart w:id="793" w:name="Tc_DR6Azi1N40GuknNYTUmmmw_6_2"/>
      <w:bookmarkStart w:id="794" w:name="Tc_hF-jUSi11kOJLPE58hRz8w_5_13"/>
      <w:bookmarkStart w:id="795" w:name="Tc_3pvFWdE0tUWJfRURkjAOuw_5_10"/>
      <w:bookmarkStart w:id="796" w:name="Tc_haiIS5v5vUWVdq0oF2wRsg_5_7"/>
      <w:bookmarkStart w:id="797" w:name="Tc_C-64v90zL0yCzycyVJzuYg_5_2"/>
      <w:bookmarkStart w:id="798" w:name="Tc_oTwHHZi23k-5VjO92gbimQ_4_13"/>
      <w:bookmarkStart w:id="799" w:name="Tc_upJEVQ92jk6Qin2Qb94C9A_4_7"/>
      <w:bookmarkStart w:id="800" w:name="Tc_spVjZwsN7k6v7KXSMPpsgA_4_2"/>
      <w:bookmarkStart w:id="801" w:name="Tc_9dLbcEjFEUi3GRo-UmZGZA_3_13"/>
      <w:bookmarkStart w:id="802" w:name="Tc_Q-U6GB4wpkGHuMPghQg7cQ_2_2"/>
      <w:bookmarkStart w:id="803" w:name="Tc_2vui-7YLi0WVxnYOKbBw9g_1_2"/>
      <w:bookmarkStart w:id="804" w:name="_845c2fd7_ba02_4533_a626_318506c6bb1e"/>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tbl>
      <w:tblPr>
        <w:tblW w:w="10205" w:type="dxa"/>
        <w:jc w:val="left"/>
        <w:tblInd w:w="0" w:type="dxa"/>
        <w:tblLayout w:type="fixed"/>
        <w:tblCellMar>
          <w:top w:w="0" w:type="dxa"/>
          <w:left w:w="0" w:type="dxa"/>
          <w:bottom w:w="0" w:type="dxa"/>
          <w:right w:w="0" w:type="dxa"/>
        </w:tblCellMar>
      </w:tblPr>
      <w:tblGrid>
        <w:gridCol w:w="2175"/>
        <w:gridCol w:w="346"/>
        <w:gridCol w:w="1081"/>
        <w:gridCol w:w="346"/>
        <w:gridCol w:w="257"/>
        <w:gridCol w:w="494"/>
        <w:gridCol w:w="346"/>
        <w:gridCol w:w="228"/>
        <w:gridCol w:w="703"/>
        <w:gridCol w:w="346"/>
        <w:gridCol w:w="196"/>
        <w:gridCol w:w="696"/>
        <w:gridCol w:w="346"/>
        <w:gridCol w:w="298"/>
        <w:gridCol w:w="1008"/>
        <w:gridCol w:w="346"/>
        <w:gridCol w:w="196"/>
        <w:gridCol w:w="797"/>
      </w:tblGrid>
      <w:tr>
        <w:trPr/>
        <w:tc>
          <w:tcPr>
            <w:tcW w:w="2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81125" cy="175260"/>
                      <wp:effectExtent l="0" t="0" r="0" b="0"/>
                      <wp:wrapNone/>
                      <wp:docPr id="64" name="Frame64"/>
                      <a:graphic xmlns:a="http://schemas.openxmlformats.org/drawingml/2006/main">
                        <a:graphicData uri="http://schemas.microsoft.com/office/word/2010/wordprocessingShape">
                          <wps:wsp>
                            <wps:cNvSpPr txBox="1"/>
                            <wps:spPr>
                              <a:xfrm>
                                <a:off x="0" y="0"/>
                                <a:ext cx="1381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86435" cy="175260"/>
                      <wp:effectExtent l="0" t="0" r="0" b="0"/>
                      <wp:wrapNone/>
                      <wp:docPr id="66" name="Frame6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3195" cy="175260"/>
                      <wp:effectExtent l="0" t="0" r="0" b="0"/>
                      <wp:wrapNone/>
                      <wp:docPr id="68" name="Frame6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13690" cy="175260"/>
                      <wp:effectExtent l="0" t="0" r="0" b="0"/>
                      <wp:wrapNone/>
                      <wp:docPr id="69" name="Frame69"/>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4780" cy="175260"/>
                      <wp:effectExtent l="0" t="0" r="0" b="0"/>
                      <wp:wrapNone/>
                      <wp:docPr id="71" name="Frame7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6405" cy="175260"/>
                      <wp:effectExtent l="0" t="0" r="0" b="0"/>
                      <wp:wrapNone/>
                      <wp:docPr id="72" name="Frame72"/>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3"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41960" cy="175260"/>
                      <wp:effectExtent l="0" t="0" r="0" b="0"/>
                      <wp:wrapNone/>
                      <wp:docPr id="75" name="Frame75"/>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89230" cy="175260"/>
                      <wp:effectExtent l="0" t="0" r="0" b="0"/>
                      <wp:wrapNone/>
                      <wp:docPr id="77" name="Frame77"/>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0080" cy="175260"/>
                      <wp:effectExtent l="0" t="0" r="0" b="0"/>
                      <wp:wrapNone/>
                      <wp:docPr id="78" name="Frame78"/>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24460" cy="175260"/>
                      <wp:effectExtent l="0" t="0" r="0" b="0"/>
                      <wp:wrapNone/>
                      <wp:docPr id="80" name="Frame8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06095" cy="175260"/>
                      <wp:effectExtent l="0" t="0" r="0" b="0"/>
                      <wp:wrapNone/>
                      <wp:docPr id="81" name="Frame8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5" w:type="dxa"/>
            <w:tcBorders/>
            <w:vAlign w:val="center"/>
          </w:tcPr>
          <w:p>
            <w:pPr>
              <w:pStyle w:val="TableContents"/>
              <w:bidi w:val="0"/>
              <w:spacing w:before="0" w:after="1"/>
              <w:ind w:left="0" w:right="0" w:hanging="0"/>
              <w:jc w:val="left"/>
              <w:rPr>
                <w:color w:val="0563C1"/>
              </w:rPr>
            </w:pPr>
            <w:r>
              <w:rPr>
                <w:color w:val="0563C1"/>
              </w:rPr>
              <w:t>​</w:t>
            </w:r>
          </w:p>
        </w:tc>
        <w:tc>
          <w:tcPr>
            <w:tcW w:w="346" w:type="dxa"/>
            <w:tcBorders/>
            <w:vAlign w:val="center"/>
          </w:tcPr>
          <w:p>
            <w:pPr>
              <w:pStyle w:val="TableContents"/>
              <w:bidi w:val="0"/>
              <w:spacing w:before="0" w:after="1"/>
              <w:ind w:left="0" w:right="0" w:hanging="0"/>
              <w:jc w:val="left"/>
              <w:rPr/>
            </w:pPr>
            <w:r>
              <w:rPr/>
              <w:t>​</w:t>
            </w:r>
          </w:p>
        </w:tc>
        <w:tc>
          <w:tcPr>
            <w:tcW w:w="7684"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July 31, 2026 and 2025</w:t>
            </w:r>
          </w:p>
        </w:tc>
      </w:tr>
      <w:tr>
        <w:trPr/>
        <w:tc>
          <w:tcPr>
            <w:tcW w:w="2175" w:type="dxa"/>
            <w:tcBorders/>
            <w:vAlign w:val="center"/>
          </w:tcPr>
          <w:p>
            <w:pPr>
              <w:pStyle w:val="TableContents"/>
              <w:bidi w:val="0"/>
              <w:spacing w:before="0" w:after="1"/>
              <w:ind w:left="0" w:right="0" w:hanging="0"/>
              <w:jc w:val="left"/>
              <w:rPr>
                <w:color w:val="0563C1"/>
              </w:rPr>
            </w:pPr>
            <w:r>
              <w:rPr>
                <w:color w:val="0563C1"/>
              </w:rPr>
              <w:t>​</w:t>
            </w:r>
          </w:p>
        </w:tc>
        <w:tc>
          <w:tcPr>
            <w:tcW w:w="346" w:type="dxa"/>
            <w:tcBorders/>
            <w:vAlign w:val="center"/>
          </w:tcPr>
          <w:p>
            <w:pPr>
              <w:pStyle w:val="TableContents"/>
              <w:bidi w:val="0"/>
              <w:spacing w:before="0" w:after="1"/>
              <w:ind w:left="0" w:right="0" w:hanging="0"/>
              <w:jc w:val="left"/>
              <w:rPr/>
            </w:pPr>
            <w:r>
              <w:rPr/>
              <w:t>​</w:t>
            </w:r>
          </w:p>
        </w:tc>
        <w:tc>
          <w:tcPr>
            <w:tcW w:w="7684" w:type="dxa"/>
            <w:gridSpan w:val="16"/>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(unaudited)</w:t>
            </w:r>
          </w:p>
        </w:tc>
      </w:tr>
      <w:tr>
        <w:trPr/>
        <w:tc>
          <w:tcPr>
            <w:tcW w:w="21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21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7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21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w:t>
            </w:r>
          </w:p>
        </w:tc>
        <w:tc>
          <w:tcPr>
            <w:tcW w:w="346" w:type="dxa"/>
            <w:tcBorders/>
            <w:vAlign w:val="center"/>
          </w:tcPr>
          <w:p>
            <w:pPr>
              <w:pStyle w:val="TableContents"/>
              <w:bidi w:val="0"/>
              <w:spacing w:before="0" w:after="1"/>
              <w:ind w:left="0" w:right="0" w:hanging="0"/>
              <w:jc w:val="left"/>
              <w:rPr/>
            </w:pPr>
            <w:r>
              <w:rPr/>
              <w:t>​</w:t>
            </w:r>
          </w:p>
        </w:tc>
        <w:tc>
          <w:tcPr>
            <w:tcW w:w="89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46" w:type="dxa"/>
            <w:tcBorders/>
            <w:vAlign w:val="center"/>
          </w:tcPr>
          <w:p>
            <w:pPr>
              <w:pStyle w:val="TableContents"/>
              <w:bidi w:val="0"/>
              <w:spacing w:before="0" w:after="1"/>
              <w:ind w:left="0" w:right="0" w:hanging="0"/>
              <w:jc w:val="left"/>
              <w:rPr/>
            </w:pPr>
            <w:r>
              <w:rPr/>
              <w:t>​</w:t>
            </w:r>
          </w:p>
        </w:tc>
        <w:tc>
          <w:tcPr>
            <w:tcW w:w="130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21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346" w:type="dxa"/>
            <w:tcBorders/>
            <w:vAlign w:val="center"/>
          </w:tcPr>
          <w:p>
            <w:pPr>
              <w:pStyle w:val="TableContents"/>
              <w:bidi w:val="0"/>
              <w:spacing w:before="0" w:after="1"/>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46" w:type="dxa"/>
            <w:tcBorders/>
            <w:vAlign w:val="center"/>
          </w:tcPr>
          <w:p>
            <w:pPr>
              <w:pStyle w:val="TableContents"/>
              <w:bidi w:val="0"/>
              <w:spacing w:before="0" w:after="1"/>
              <w:ind w:left="0" w:right="0" w:hanging="0"/>
              <w:jc w:val="left"/>
              <w:rPr/>
            </w:pPr>
            <w:r>
              <w:rPr/>
              <w:t>  ​ ​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46" w:type="dxa"/>
            <w:tcBorders/>
            <w:vAlign w:val="center"/>
          </w:tcPr>
          <w:p>
            <w:pPr>
              <w:pStyle w:val="TableContents"/>
              <w:bidi w:val="0"/>
              <w:spacing w:before="0" w:after="1"/>
              <w:ind w:left="0" w:right="0" w:hanging="0"/>
              <w:jc w:val="left"/>
              <w:rPr/>
            </w:pPr>
            <w:r>
              <w:rPr/>
              <w:t>  ​ ​ ​</w:t>
            </w:r>
          </w:p>
        </w:tc>
        <w:tc>
          <w:tcPr>
            <w:tcW w:w="8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346" w:type="dxa"/>
            <w:tcBorders/>
            <w:vAlign w:val="center"/>
          </w:tcPr>
          <w:p>
            <w:pPr>
              <w:pStyle w:val="TableContents"/>
              <w:bidi w:val="0"/>
              <w:spacing w:before="0" w:after="1"/>
              <w:ind w:left="0" w:right="0" w:hanging="0"/>
              <w:jc w:val="left"/>
              <w:rPr/>
            </w:pPr>
            <w:r>
              <w:rPr/>
              <w:t>  ​ ​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Income (Loss)</w:t>
            </w:r>
          </w:p>
        </w:tc>
        <w:tc>
          <w:tcPr>
            <w:tcW w:w="346" w:type="dxa"/>
            <w:tcBorders/>
            <w:vAlign w:val="center"/>
          </w:tcPr>
          <w:p>
            <w:pPr>
              <w:pStyle w:val="TableContents"/>
              <w:bidi w:val="0"/>
              <w:spacing w:before="0" w:after="1"/>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Balances, October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6,435,624</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61,500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161,422</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207,172</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(12,076)</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 </w:t>
            </w:r>
          </w:p>
        </w:tc>
        <w:tc>
          <w:tcPr>
            <w:tcW w:w="10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(12,076)</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9,277</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valuation allowances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 net of taxes withheld for vested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71,244</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 </w:t>
            </w:r>
          </w:p>
        </w:tc>
        <w:tc>
          <w:tcPr>
            <w:tcW w:w="100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1,277</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(104,472)</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Balances, July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6,402,396</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60,781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149,346</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203,672</w:t>
            </w:r>
          </w:p>
        </w:tc>
      </w:tr>
      <w:tr>
        <w:trPr/>
        <w:tc>
          <w:tcPr>
            <w:tcW w:w="21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Balances, October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6,402,396</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60,850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146,305</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(9,008)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198,787</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(3,526)</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(3,526)</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49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(4,135)</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 valuation allowances</w:t>
            </w:r>
          </w:p>
        </w:tc>
        <w:tc>
          <w:tcPr>
            <w:tcW w:w="34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9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w:t>
            </w:r>
          </w:p>
        </w:tc>
      </w:tr>
      <w:tr>
        <w:trPr/>
        <w:tc>
          <w:tcPr>
            <w:tcW w:w="21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 net of taxes withheld for vested restricted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73,926</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1,371</w:t>
            </w:r>
          </w:p>
        </w:tc>
      </w:tr>
      <w:tr>
        <w:trPr/>
        <w:tc>
          <w:tcPr>
            <w:tcW w:w="217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Balances, July 31, 2026</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6,476,322</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9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648</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62,213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142,779</w:t>
            </w:r>
          </w:p>
        </w:tc>
        <w:tc>
          <w:tcPr>
            <w:tcW w:w="346"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192,289</w:t>
            </w:r>
          </w:p>
        </w:tc>
      </w:tr>
    </w:tbl>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05" w:name="NOTESTOCONDENSEDCONSOLIDATEDFINANCIALSTA"/>
      <w:bookmarkStart w:id="806" w:name="_987e4490_c8a7_431b_8f80_a7c66c7251fc"/>
      <w:bookmarkEnd w:id="805"/>
      <w:bookmarkEnd w:id="806"/>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1.GENERAL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include the accounts of Hurco Companies, Inc. and its consolidated subsidiaries.  As used in this report, the words “we”, “us”, “our”, “Hurco” and the “Company” refer to Hurco Companies, Inc. and its consolidated subsidiaries.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design, manufacture, and sell computerized (i.e., Computer Numeric Control (“CNC”))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condensed consolidated financial information as of July 31, 2026, and for the three and nine months ended July 31, 2026, and July 31, 2025, is unaudited.  However, in our opinion, the interim data includes all adjustments, consisting only of normal recurring adjustments, necessary to present fairly our consolidated financial position, results of operations, changes in shareholders’ equity and cash flows for and at the end of the interim periods.  We suggest that you read these Condensed Consolidated Financial Statements in conjunction with the financial statements and the notes thereto included in our Annual Report on Form 10-K for the year ended October 31, 2025.</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REVENUE RECOGNITION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design, manufacture, and sell computerized machine tools.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recognize revenues from the sale of machine tools, components and accessories and services, and reflect the consideration to which we expect to be entitled.  We record revenues based on a five-step model in accordance with Financial Accounting Standards Board (“FASB”) guidance codified in Accounting Standards Codification (“ASC”) 606, “Revenue from Contracts with Customers” (“ASC 606”).  In accordance with ASC 606, we have defined contracts as agreements with our customers and distributors in the form of purchase orders, packing or shipping documents, invoices, and, periodically, verbal requests for components and accessories. For each contract, we identify our performance obligations, which are delivering goods or services, determine the transaction price, allocate the contract transaction price to each of the performance obligations (when applicable), and recognize the revenue when (or as) the performance obligation to the customer is fulfilled.  A good or service is transferred when the customer obtains control of that good or service. Our computerized machine tools are general purpose computer-controlled machine tools that are typically used in stand–alone operations. Prior to shipment, we test each machine to ensure the machine’s compliance with standard operating specifications. We deem that the customer obtains control upon delivery of the product and that obtaining control is not contingent upon contractual customer acceptance. Therefore, we recognize revenue from sales of our machine tool systems upon delivery of the product to the customer or distributor, which is normally at the time of shipment.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Depending upon geographic location, after shipment, a machine may be installed at the customer’s facility by a distributor, independent contractor, or by one of our service technicians. In most instances where a machine is sold through a distributor, we have no installation involvement. If sales are direct or through sales agents, we will typically complete the machine installation, which consists of the reassembly of certain parts that were removed for shipping and the re-testing of the machine to ensure that it is performing within the standard specifications. We consider the machine installation process for our 3-axis machines to be inconsequential and immaterial within the context of the contract. For our 5-axis machines that we install, we estimate the fair value of the installation performance obligation and recognize that installation revenue on a prorata basis over the period of the installation process.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and depending upon geographic location, we may provide training or freight services. We consider these services to be immaterial within the context of the contract, as the value of these services typically does not rise to a material level as a component of the total contract value. Service fees from maintenance contracts are deferred and recognized in earnings on a prorata basis over the term of the contract and are generally sold on a stand-alone basis. Customer discounts and estimated product returns are recorded as a reduction of revenue in the same period that the related sales are recorded.  We have reviewed the overall sales transactions for variable consideration and have determined that these amounts are not material.</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DERIVATIVE INSTRUMENTS AND HEDGING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certain market risks relating to our ongoing business operations, including foreign currency risk, interest rate risk and credit risk.  We manage our exposure to these and other market risks through regular operating and financing activities.  Currently, the only risk that we manage through the use of derivative instruments is foreign currency risk, for which we enter into derivative instruments in the form of foreign currency forward exchange contracts with a major financial institution.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enter into these forward exchange contracts to reduce the potential effects of foreign exchange rate movements on our net equity investment in one of our foreign subsidiaries, to reduce the impact on gross profit and net earnings from sales and purchases denominated in foreign currencies, and to reduce the impact on our net earnings of foreign currency fluctuations on receivables and payables denominated in foreign currencies that are different than the subsidiaries’ functional currency.  We are primarily exposed to foreign currency exchange rate risk with respect to transactions and net assets denominated in Euros, Pounds Sterling, Indian Rupee, Singapore Dollars, Chinese Yuan, Polish Zloty, and New Taiwan Dollars.  We record all derivative instruments as assets or liabilities at fair value.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Derivatives Designated as Hedging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enter into foreign currency forward exchange contracts periodically to hedge certain forecasted intercompany sales and purchases denominated in the following foreign currencies: the Pound Sterling, Euro and New Taiwan Dollar.  The purpose of these instruments is to mitigate the risk that the U.S. dollar net cash inflows and outflows resulting from sales and purchases denominated in foreign currencies will be adversely affected by changes in exchange rates.  These forward contracts have been designated as cash flow hedge instruments and are recorded in the Condensed Consolidated Balance Sheets at fair value in Derivative assets and Derivative liabilities.  The effective portion of the gains and losses resulting from the changes in the fair value of these hedge contracts is deferred in Accumulated other comprehensive loss and recognized as an adjustment to Cost of sales and service in the period that the corresponding inventory sold that is the subject of the related hedge contract is recognized, thereby providing an offsetting economic impact against the corresponding change in the U.S. dollar value of the intercompany sale or purchase being hedged.  The ineffective portion of gains and losses resulting from the changes in the fair value of these hedge contracts is immediately reported in Other income (expense), net.  We perform quarterly assessments of hedge effectiveness by verifying and documenting the critical terms of the hedge instrument and determining that forecasted transactions have not changed significantly.  We also assess on a quarterly basis whether there have been adverse developments regarding the risk of a counterparty default.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forward contracts outstanding as of July 31, 2026, denominated in Euros, Pounds Sterling, and New Taiwan Dollars with set maturity dates ranging from August 2026 through July 2027. The contract amounts, expressed at forward rates in U.S. dollars at July 31, 2026, were $8.0 million for Euros, $7.4 million for Pounds Sterling, and $20.7 million for New Taiwan Dollars. At July 31, 2026, we had $1.0 million of realized loss, net of tax, related to cash flow hedges deferred in Accumulated other comprehensive loss. Included in this amount was $0.6 million of unrealized loss, net of tax, related to cash flow hedge instruments that remain subject to currency fluctuation risk. The majority of these deferred losses will be recorded as an adjustment to Cost of sales and service in periods through July 2027, when the corresponding inventory that is the subject of the related hedge contracts is sold, as described above.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exposed to foreign currency exchange risk related to our investment in net assets in foreign countries. To manage this risk, we entered into a forward contract with a notional amount of €3.0 million in November 2025. We designated this forward contract as a hedge of our net investment in Euro denominated assets. We selected the forward method under FASB guidance related to the accounting for derivative instruments and hedging activities. The forward method requires all changes in the fair value of the contract to be reported as a cumulative translation adjustment in Accumulated other comprehensive loss, net of tax, in the same manner as the underlying hedged net assets. This forward contract matures in November 2026. As of July 31, 2026, we had a realized gain of $1.0 million and an unrealized gain of less than $0.1 million, net of tax, recorded as cumulative translation adjustments in Accumulated other comprehensive loss related to this forward contract.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07" w:name="Tc_C5xCUFIC5k6Xl5Q7iHp_rw_12_5"/>
      <w:bookmarkStart w:id="808" w:name="Tc_xZOJJQ0LL0WB8ABsmIm89A_12_2"/>
      <w:bookmarkStart w:id="809" w:name="Tc_aVMc_gBBHkmgnyfSHMQ19w_12_0"/>
      <w:bookmarkStart w:id="810" w:name="Tc_ECrb4A-hQkm3TZaayCvipA_11_13"/>
      <w:bookmarkStart w:id="811" w:name="Tc_cFh_4qsrBEi7DauI6gFyhg_11_10"/>
      <w:bookmarkStart w:id="812" w:name="Tc_noTtVlSco0aiZkx_nF4ipg_11_8"/>
      <w:bookmarkStart w:id="813" w:name="Tc_0uCklidwU0mAFGJ6cmzSqA_11_5"/>
      <w:bookmarkStart w:id="814" w:name="Tc_wr6CINZSfk-0P1s9gjI-ug_11_2"/>
      <w:bookmarkStart w:id="815" w:name="Tc_cTOGD-xfC06xZwguE_m5Hw_11_0"/>
      <w:bookmarkStart w:id="816" w:name="Tc_7r_CxlQ5_U6vhmE-i7f5bg_10_0"/>
      <w:bookmarkStart w:id="817" w:name="Tc_dopW-GPt00eUtIxsnyqUkQ_9_0"/>
      <w:bookmarkStart w:id="818" w:name="Tc_HxKhiEG_3k6kN44Y3Tzh8w_8_13"/>
      <w:bookmarkStart w:id="819" w:name="Tc_SdTRhhRfU06mjPdJNt73pA_8_10"/>
      <w:bookmarkStart w:id="820" w:name="Tc_2b0CujdaMkm1ND8ksJ6BDg_8_5"/>
      <w:bookmarkStart w:id="821" w:name="Tc_Zh8gqNk0-kS6MxDvmOwq4A_8_2"/>
      <w:bookmarkStart w:id="822" w:name="Tc_0TpgKa6NzUKkxcA3ZmQfIw_7_10"/>
      <w:bookmarkStart w:id="823" w:name="Tc_HXdgQJMLnEq8_wgdVw8Gbw_7_2"/>
      <w:bookmarkStart w:id="824" w:name="Tc_6o0iHBRkoku8NiWMq0cmmg_6_10"/>
      <w:bookmarkStart w:id="825" w:name="Tc_UgFgyTK4D0OPDX3pPJ6i8w_6_2"/>
      <w:bookmarkStart w:id="826" w:name="Tc_dKFiRCfgFUCTnpPz_92kgA_5_10"/>
      <w:bookmarkStart w:id="827" w:name="Tc_qc3HFlpsp0uMbMvSlFC7ZQ_5_8"/>
      <w:bookmarkStart w:id="828" w:name="Tc_8t__bKl5PEiJv8r3xIL30Q_5_2"/>
      <w:bookmarkStart w:id="829" w:name="Tc_Z7AAibfD4022mgwibJZmKA_5_0"/>
      <w:bookmarkStart w:id="830" w:name="Tc_-4jXWSwUDUSlKufoKrhS1w_4_10"/>
      <w:bookmarkStart w:id="831" w:name="Tc_II8-eHCkK0upoOHSwbHcRA_4_8"/>
      <w:bookmarkStart w:id="832" w:name="Tc_6kUNKiI6PkehbM1qv2T1lQ_4_2"/>
      <w:bookmarkStart w:id="833" w:name="Tc_yrApCj0LcUCVo8mxeCVPlg_3_10"/>
      <w:bookmarkStart w:id="834" w:name="Tc_2hlMpX63Z0S1rZ8fsF8-Zg_3_8"/>
      <w:bookmarkStart w:id="835" w:name="Tc_oe3nYz9ynUGobS8ThUtaow_3_2"/>
      <w:bookmarkStart w:id="836" w:name="Tc_euI7SeL2TE6GxTE_fGVoFg_2_10"/>
      <w:bookmarkStart w:id="837" w:name="Tc_O5RSQviIf0K0-yT0Do8OHQ_2_8"/>
      <w:bookmarkStart w:id="838" w:name="Tc_ROFvhhWRTkWBxMmymV1HtQ_2_2"/>
      <w:bookmarkStart w:id="839" w:name="Tc_ZCH6eTHc60OInhzUP2xRJw_1_10"/>
      <w:bookmarkStart w:id="840" w:name="Tc_x1ibc2nZ1k-RyyOD1EHyCA_1_8"/>
      <w:bookmarkStart w:id="841" w:name="_6ecb8ac0_ff66_4ca6_9f5c_4775782ec356"/>
      <w:bookmarkStart w:id="842" w:name="Tc_bEJGXJexkUOY2CF5wAwOuQ_10_9"/>
      <w:bookmarkStart w:id="843" w:name="Tc_qKI08y_TfUK7r6zuRLoDCw_10_7"/>
      <w:bookmarkStart w:id="844" w:name="Tc_GbqESwNnc0udH66JB1mwNQ_10_4"/>
      <w:bookmarkStart w:id="845" w:name="Tc_7dQjYACkQUKFV3eT2DM7ag_10_2"/>
      <w:bookmarkStart w:id="846" w:name="Tc_FBrO5IwbYUeH2e8N43pYiw_10_0"/>
      <w:bookmarkStart w:id="847" w:name="Tc_4hskxn-cwk-jAOkrfysbPQ_9_9"/>
      <w:bookmarkStart w:id="848" w:name="Tc_3jjviQsYxkOLXb3aO4Tltg_9_7"/>
      <w:bookmarkStart w:id="849" w:name="Tc_mxIUHNC1c0CpuJWIxxLapA_9_4"/>
      <w:bookmarkStart w:id="850" w:name="Tc_ePWGZgMkB0ibYmRrPo8pIA_9_2"/>
      <w:bookmarkStart w:id="851" w:name="Tc_TpnSJL0JS02RY5Qx-g-S-w_9_0"/>
      <w:bookmarkStart w:id="852" w:name="Tc_w_erLZtmQU6HHmvxeWi5Ow_8_0"/>
      <w:bookmarkStart w:id="853" w:name="Tc_Nj3gdEclP0m6mmfKLbAKAQ_6_9"/>
      <w:bookmarkStart w:id="854" w:name="Tc_fxlLNEohCkWraT3S0-V-FQ_6_7"/>
      <w:bookmarkStart w:id="855" w:name="Tc_pT8LRl4x_ESqax1aCrkB1Q_6_4"/>
      <w:bookmarkStart w:id="856" w:name="Tc_EvEZpnFIPk6OCEJsqDR-XQ_6_2"/>
      <w:bookmarkStart w:id="857" w:name="Tc_DFAg-foQrEOsn0V900qFmg_6_0"/>
      <w:bookmarkStart w:id="858" w:name="Tc__XV-cssusEuretiFoNo4VA_5_9"/>
      <w:bookmarkStart w:id="859" w:name="Tc_cLV-ljjCLUGwG_Co5coEng_5_7"/>
      <w:bookmarkStart w:id="860" w:name="Tc_LZ-ZT81Jy0a8xJeKLxiPFA_5_4"/>
      <w:bookmarkStart w:id="861" w:name="Tc_Rha3_xuti0SrpPreBFfw_Q_5_2"/>
      <w:bookmarkStart w:id="862" w:name="Tc_pmnz1i4RtEixMnfr98BoBg_5_0"/>
      <w:bookmarkStart w:id="863" w:name="Tc_m53D15p9i0aRestUlnHdFg_4_0"/>
      <w:bookmarkStart w:id="864" w:name="Tc_Bx3OYIZjKUiAmtwi6z4tbg_3_9"/>
      <w:bookmarkStart w:id="865" w:name="Tc_w5X34Sm1SE2crnKl6GarHw_3_7"/>
      <w:bookmarkStart w:id="866" w:name="Tc_lBpcoDd1lUSTuODvpq0k6g_3_4"/>
      <w:bookmarkStart w:id="867" w:name="Tc_oqB_KAJ9lkmz7ztS6omtGg_3_2"/>
      <w:bookmarkStart w:id="868" w:name="Tc_8co5yoEj9UuaeoEwCwB4oA_3_0"/>
      <w:bookmarkStart w:id="869" w:name="Tc_vM0f_fXRmEGw60YFJnxoXQ_2_9"/>
      <w:bookmarkStart w:id="870" w:name="Tc_c1uTmxk6h0GZ37CH3dlcgQ_2_7"/>
      <w:bookmarkStart w:id="871" w:name="Tc__iQCNta130K6yHOpLYb0Fg_2_4"/>
      <w:bookmarkStart w:id="872" w:name="Tc_fPthCQQCTUCcR_wHQ973YQ_2_2"/>
      <w:bookmarkStart w:id="873" w:name="Tc_-A9aVM_2YE6ApWvSrmgt_A_1_7"/>
      <w:bookmarkStart w:id="874" w:name="Tc_PlWoUHk3OkKEUCpnZc0ahw_1_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ascii="Times New Roman;Times;serif" w:hAnsi="Times New Roman;Times;serif"/>
          <w:sz w:val="20"/>
        </w:rPr>
        <w:t>Derivatives Not Designated as Hedging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enter into foreign currency forward exchange contracts to protect against the effects of foreign currency fluctuations on intercompany prepayments, receivables, payables and loans denominated in foreign currencies. These derivative instruments are not designated as hedges under FASB guidance and, as a result, changes in their fair value are reported currently in Other income (expense), net in the Condensed Consolidated Statements of Operations consistent with the transaction gain or loss on the related receivables and payables denominated in foreign currencies.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had forward contracts outstanding as of July 31, 2026, denominated in Euros, Pounds Sterling, and New Taiwan Dollars with set maturity dates ranging from August 2026 through June 2027.  The contract amounts, expressed at forward rates in U.S. dollars at July 31, 2026, totaled $51.2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of Derivative Instruments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recognize the fair value of derivative instruments as assets and liabilities on a gross basis on our Condensed Consolidated Balance Sheets. As of July 31, 2026, and October 31, 2025, all derivative instruments were recorded at fair value on our Condensed Consolidated Balance Sheets as follows (in thousands):</w:t>
      </w:r>
    </w:p>
    <w:p>
      <w:pPr>
        <w:pStyle w:val="TextBody"/>
        <w:bidi w:val="0"/>
        <w:spacing w:before="0" w:after="240"/>
        <w:ind w:left="0" w:right="0" w:hanging="0"/>
        <w:jc w:val="both"/>
        <w:rPr/>
      </w:pPr>
      <w:r>
        <w:rPr/>
        <w:t>​</w:t>
      </w:r>
    </w:p>
    <w:tbl>
      <w:tblPr>
        <w:tblW w:w="9866" w:type="dxa"/>
        <w:jc w:val="left"/>
        <w:tblInd w:w="0" w:type="dxa"/>
        <w:tblLayout w:type="fixed"/>
        <w:tblCellMar>
          <w:top w:w="0" w:type="dxa"/>
          <w:left w:w="0" w:type="dxa"/>
          <w:bottom w:w="0" w:type="dxa"/>
          <w:right w:w="0" w:type="dxa"/>
        </w:tblCellMar>
      </w:tblPr>
      <w:tblGrid>
        <w:gridCol w:w="3391"/>
        <w:gridCol w:w="346"/>
        <w:gridCol w:w="1786"/>
        <w:gridCol w:w="346"/>
        <w:gridCol w:w="211"/>
        <w:gridCol w:w="421"/>
        <w:gridCol w:w="346"/>
        <w:gridCol w:w="1786"/>
        <w:gridCol w:w="346"/>
        <w:gridCol w:w="211"/>
        <w:gridCol w:w="67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53285" cy="175260"/>
                      <wp:effectExtent l="0" t="0" r="0" b="0"/>
                      <wp:wrapNone/>
                      <wp:docPr id="82" name="Frame82"/>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134110" cy="175260"/>
                      <wp:effectExtent l="0" t="0" r="0" b="0"/>
                      <wp:wrapNone/>
                      <wp:docPr id="84" name="Frame84"/>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67335" cy="175260"/>
                      <wp:effectExtent l="0" t="0" r="0" b="0"/>
                      <wp:wrapNone/>
                      <wp:docPr id="87" name="Frame8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134110" cy="175260"/>
                      <wp:effectExtent l="0" t="0" r="0" b="0"/>
                      <wp:wrapNone/>
                      <wp:docPr id="89" name="Frame89"/>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2" name="Frame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2026</w:t>
            </w:r>
          </w:p>
        </w:tc>
        <w:tc>
          <w:tcPr>
            <w:tcW w:w="346" w:type="dxa"/>
            <w:tcBorders/>
            <w:vAlign w:val="center"/>
          </w:tcPr>
          <w:p>
            <w:pPr>
              <w:pStyle w:val="TableContents"/>
              <w:bidi w:val="0"/>
              <w:spacing w:before="0" w:after="1"/>
              <w:ind w:left="0" w:right="0" w:hanging="0"/>
              <w:jc w:val="left"/>
              <w:rPr/>
            </w:pPr>
            <w:r>
              <w:rPr/>
              <w:t>​</w:t>
            </w:r>
          </w:p>
        </w:tc>
        <w:tc>
          <w:tcPr>
            <w:tcW w:w="301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October 31, 2025</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 Sheet</w:t>
            </w:r>
          </w:p>
        </w:tc>
        <w:tc>
          <w:tcPr>
            <w:tcW w:w="346" w:type="dxa"/>
            <w:tcBorders/>
            <w:vAlign w:val="center"/>
          </w:tcPr>
          <w:p>
            <w:pPr>
              <w:pStyle w:val="TableContents"/>
              <w:bidi w:val="0"/>
              <w:spacing w:before="0" w:after="1"/>
              <w:ind w:left="0" w:right="0" w:hanging="0"/>
              <w:jc w:val="left"/>
              <w:rPr/>
            </w:pPr>
            <w:r>
              <w:rPr/>
              <w:t>​</w:t>
            </w:r>
          </w:p>
        </w:tc>
        <w:tc>
          <w:tcPr>
            <w:tcW w:w="63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Balance Sheet</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  ​ ​ ​</w:t>
            </w:r>
          </w:p>
        </w:tc>
        <w:tc>
          <w:tcPr>
            <w:tcW w:w="17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46" w:type="dxa"/>
            <w:tcBorders/>
            <w:vAlign w:val="center"/>
          </w:tcPr>
          <w:p>
            <w:pPr>
              <w:pStyle w:val="TableContents"/>
              <w:bidi w:val="0"/>
              <w:spacing w:before="0" w:after="1"/>
              <w:ind w:left="0" w:right="0" w:hanging="0"/>
              <w:jc w:val="left"/>
              <w:rPr/>
            </w:pPr>
            <w:r>
              <w:rPr/>
              <w:t>  ​ ​ ​</w:t>
            </w:r>
          </w:p>
        </w:tc>
        <w:tc>
          <w:tcPr>
            <w:tcW w:w="17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Designated as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 Designated as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2,139</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Derivative Instruments on the Condensed Consolidated Balance Sheets, Condensed Consolidated Statements of Changes in Shareholders’ Equity and Condensed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 instruments had the following effects on our Condensed Consolidated Balance Sheets, Condensed Consolidated Statements of Changes in Shareholders’ Equity, and Condensed Consolidated Statements of Operations, net of tax, during the three months ended July 31, 2026 and 2025 (in thousands):</w:t>
      </w:r>
    </w:p>
    <w:tbl>
      <w:tblPr>
        <w:tblW w:w="10082" w:type="dxa"/>
        <w:jc w:val="left"/>
        <w:tblInd w:w="0" w:type="dxa"/>
        <w:tblLayout w:type="fixed"/>
        <w:tblCellMar>
          <w:top w:w="0" w:type="dxa"/>
          <w:left w:w="0" w:type="dxa"/>
          <w:bottom w:w="0" w:type="dxa"/>
          <w:right w:w="0" w:type="dxa"/>
        </w:tblCellMar>
      </w:tblPr>
      <w:tblGrid>
        <w:gridCol w:w="3046"/>
        <w:gridCol w:w="346"/>
        <w:gridCol w:w="253"/>
        <w:gridCol w:w="578"/>
        <w:gridCol w:w="416"/>
        <w:gridCol w:w="253"/>
        <w:gridCol w:w="509"/>
        <w:gridCol w:w="346"/>
        <w:gridCol w:w="2086"/>
        <w:gridCol w:w="346"/>
        <w:gridCol w:w="224"/>
        <w:gridCol w:w="464"/>
        <w:gridCol w:w="368"/>
        <w:gridCol w:w="224"/>
        <w:gridCol w:w="623"/>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34210" cy="175260"/>
                      <wp:effectExtent l="0" t="0" r="0" b="0"/>
                      <wp:wrapNone/>
                      <wp:docPr id="93" name="Frame93"/>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0655" cy="175260"/>
                      <wp:effectExtent l="0" t="0" r="0" b="0"/>
                      <wp:wrapNone/>
                      <wp:docPr id="95" name="Frame95"/>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7030" cy="175260"/>
                      <wp:effectExtent l="0" t="0" r="0" b="0"/>
                      <wp:wrapNone/>
                      <wp:docPr id="96" name="Frame96"/>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4160" cy="175260"/>
                      <wp:effectExtent l="0" t="0" r="0" b="0"/>
                      <wp:wrapNone/>
                      <wp:docPr id="97" name="Frame97"/>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60655" cy="175260"/>
                      <wp:effectExtent l="0" t="0" r="0" b="0"/>
                      <wp:wrapNone/>
                      <wp:docPr id="98" name="Frame9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23215" cy="175260"/>
                      <wp:effectExtent l="0" t="0" r="0" b="0"/>
                      <wp:wrapNone/>
                      <wp:docPr id="99" name="Frame99"/>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24610" cy="175260"/>
                      <wp:effectExtent l="0" t="0" r="0" b="0"/>
                      <wp:wrapNone/>
                      <wp:docPr id="101" name="Frame101"/>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2240" cy="175260"/>
                      <wp:effectExtent l="0" t="0" r="0" b="0"/>
                      <wp:wrapNone/>
                      <wp:docPr id="103" name="Frame103"/>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94640" cy="175260"/>
                      <wp:effectExtent l="0" t="0" r="0" b="0"/>
                      <wp:wrapNone/>
                      <wp:docPr id="104" name="Frame104"/>
                      <a:graphic xmlns:a="http://schemas.openxmlformats.org/drawingml/2006/main">
                        <a:graphicData uri="http://schemas.microsoft.com/office/word/2010/wordprocessingShape">
                          <wps:wsp>
                            <wps:cNvSpPr txBox="1"/>
                            <wps:spPr>
                              <a:xfrm>
                                <a:off x="0" y="0"/>
                                <a:ext cx="294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33680" cy="175260"/>
                      <wp:effectExtent l="0" t="0" r="0" b="0"/>
                      <wp:wrapNone/>
                      <wp:docPr id="105" name="Frame105"/>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2240" cy="175260"/>
                      <wp:effectExtent l="0" t="0" r="0" b="0"/>
                      <wp:wrapNone/>
                      <wp:docPr id="106" name="Frame10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95605" cy="175260"/>
                      <wp:effectExtent l="0" t="0" r="0" b="0"/>
                      <wp:wrapNone/>
                      <wp:docPr id="107" name="Frame107"/>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 of Gain</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 (Loss)</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(Loss) Reclassified</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(Loss) Reclassified</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Recognized in Other</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from Other</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from Other</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c>
          <w:tcPr>
            <w:tcW w:w="346" w:type="dxa"/>
            <w:tcBorders/>
            <w:vAlign w:val="center"/>
          </w:tcPr>
          <w:p>
            <w:pPr>
              <w:pStyle w:val="TableContents"/>
              <w:bidi w:val="0"/>
              <w:spacing w:before="0" w:after="1"/>
              <w:ind w:left="0" w:right="0" w:hanging="0"/>
              <w:jc w:val="left"/>
              <w:rPr/>
            </w:pPr>
            <w:r>
              <w:rPr/>
              <w:t>​</w:t>
            </w:r>
          </w:p>
        </w:tc>
        <w:tc>
          <w:tcPr>
            <w:tcW w:w="20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r>
      <w:tr>
        <w:trPr/>
        <w:tc>
          <w:tcPr>
            <w:tcW w:w="30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416" w:type="dxa"/>
            <w:tcBorders/>
            <w:vAlign w:val="center"/>
          </w:tcPr>
          <w:p>
            <w:pPr>
              <w:pStyle w:val="TableContents"/>
              <w:bidi w:val="0"/>
              <w:spacing w:before="0" w:after="1"/>
              <w:ind w:left="0" w:right="0" w:hanging="0"/>
              <w:jc w:val="left"/>
              <w:rPr/>
            </w:pPr>
            <w:r>
              <w:rPr/>
              <w:t>  ​ ​ ​</w:t>
            </w:r>
          </w:p>
        </w:tc>
        <w:tc>
          <w:tcPr>
            <w:tcW w:w="7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 ​ ​</w:t>
            </w:r>
          </w:p>
        </w:tc>
        <w:tc>
          <w:tcPr>
            <w:tcW w:w="20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68" w:type="dxa"/>
            <w:tcBorders/>
            <w:vAlign w:val="center"/>
          </w:tcPr>
          <w:p>
            <w:pPr>
              <w:pStyle w:val="TableContents"/>
              <w:bidi w:val="0"/>
              <w:spacing w:before="0" w:after="1"/>
              <w:ind w:left="0" w:right="0" w:hanging="0"/>
              <w:jc w:val="left"/>
              <w:rPr/>
            </w:pPr>
            <w:r>
              <w:rPr/>
              <w:t>  ​ ​ ​</w:t>
            </w:r>
          </w:p>
        </w:tc>
        <w:tc>
          <w:tcPr>
            <w:tcW w:w="8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Designated as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center"/>
              <w:rPr/>
            </w:pPr>
            <w:r>
              <w:rPr/>
              <w:t>​</w:t>
            </w:r>
          </w:p>
        </w:tc>
        <w:tc>
          <w:tcPr>
            <w:tcW w:w="578" w:type="dxa"/>
            <w:tcBorders/>
            <w:shd w:fill="CCEEFF" w:val="clear"/>
            <w:vAlign w:val="center"/>
          </w:tcPr>
          <w:p>
            <w:pPr>
              <w:pStyle w:val="TableContents"/>
              <w:bidi w:val="0"/>
              <w:spacing w:before="0" w:after="1"/>
              <w:ind w:left="0" w:right="0" w:hanging="0"/>
              <w:jc w:val="center"/>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center"/>
              <w:rPr/>
            </w:pPr>
            <w:r>
              <w:rPr/>
              <w:t>​</w:t>
            </w:r>
          </w:p>
        </w:tc>
        <w:tc>
          <w:tcPr>
            <w:tcW w:w="5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64" w:type="dxa"/>
            <w:tcBorders/>
            <w:shd w:fill="CCEEFF" w:val="clear"/>
            <w:vAlign w:val="center"/>
          </w:tcPr>
          <w:p>
            <w:pPr>
              <w:pStyle w:val="TableContents"/>
              <w:bidi w:val="0"/>
              <w:spacing w:before="0" w:after="1"/>
              <w:ind w:left="0" w:right="0" w:hanging="0"/>
              <w:jc w:val="center"/>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623" w:type="dxa"/>
            <w:tcBorders/>
            <w:shd w:fill="CCEEFF" w:val="clear"/>
            <w:vAlign w:val="center"/>
          </w:tcPr>
          <w:p>
            <w:pPr>
              <w:pStyle w:val="TableContents"/>
              <w:bidi w:val="0"/>
              <w:spacing w:before="0" w:after="1"/>
              <w:ind w:left="0" w:right="0" w:hanging="0"/>
              <w:jc w:val="right"/>
              <w:rPr/>
            </w:pPr>
            <w:r>
              <w:rPr/>
              <w:t>​</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portion)</w:t>
            </w:r>
          </w:p>
        </w:tc>
        <w:tc>
          <w:tcPr>
            <w:tcW w:w="346" w:type="dxa"/>
            <w:tcBorders/>
            <w:vAlign w:val="center"/>
          </w:tcPr>
          <w:p>
            <w:pPr>
              <w:pStyle w:val="TableContents"/>
              <w:bidi w:val="0"/>
              <w:spacing w:before="0" w:after="1"/>
              <w:ind w:left="0" w:right="0" w:hanging="0"/>
              <w:jc w:val="left"/>
              <w:rPr/>
            </w:pPr>
            <w:r>
              <w:rPr/>
              <w:t> </w:t>
            </w:r>
          </w:p>
        </w:tc>
        <w:tc>
          <w:tcPr>
            <w:tcW w:w="253" w:type="dxa"/>
            <w:tcBorders/>
            <w:vAlign w:val="center"/>
          </w:tcPr>
          <w:p>
            <w:pPr>
              <w:pStyle w:val="TableContents"/>
              <w:bidi w:val="0"/>
              <w:spacing w:before="0" w:after="1"/>
              <w:ind w:left="0" w:right="0" w:hanging="0"/>
              <w:jc w:val="left"/>
              <w:rPr/>
            </w:pPr>
            <w:r>
              <w:rPr/>
              <w:t>​</w:t>
            </w:r>
          </w:p>
        </w:tc>
        <w:tc>
          <w:tcPr>
            <w:tcW w:w="578" w:type="dxa"/>
            <w:tcBorders/>
            <w:vAlign w:val="center"/>
          </w:tcPr>
          <w:p>
            <w:pPr>
              <w:pStyle w:val="TableContents"/>
              <w:bidi w:val="0"/>
              <w:spacing w:before="0" w:after="1"/>
              <w:ind w:left="0" w:right="0" w:hanging="0"/>
              <w:jc w:val="right"/>
              <w:rPr/>
            </w:pPr>
            <w:r>
              <w:rPr/>
              <w:t>  ​</w:t>
            </w:r>
          </w:p>
        </w:tc>
        <w:tc>
          <w:tcPr>
            <w:tcW w:w="41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5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4" w:type="dxa"/>
            <w:tcBorders/>
            <w:vAlign w:val="center"/>
          </w:tcPr>
          <w:p>
            <w:pPr>
              <w:pStyle w:val="TableContents"/>
              <w:bidi w:val="0"/>
              <w:spacing w:before="0" w:after="1"/>
              <w:ind w:left="0" w:right="0" w:hanging="0"/>
              <w:jc w:val="right"/>
              <w:rPr/>
            </w:pPr>
            <w:r>
              <w:rPr/>
              <w:t>  ​</w:t>
            </w:r>
          </w:p>
        </w:tc>
        <w:tc>
          <w:tcPr>
            <w:tcW w:w="368"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lef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br/>
              <w:t>– Intercompany sales/purchases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41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shd w:fill="CCEEFF" w:val="clear"/>
            <w:vAlign w:val="center"/>
          </w:tcPr>
          <w:p>
            <w:pPr>
              <w:pStyle w:val="TableContents"/>
              <w:bidi w:val="0"/>
              <w:spacing w:before="0" w:after="1"/>
              <w:ind w:left="0" w:right="0" w:hanging="0"/>
              <w:jc w:val="left"/>
              <w:rPr/>
            </w:pPr>
            <w:r>
              <w:rPr/>
              <w:t>​</w:t>
            </w:r>
          </w:p>
        </w:tc>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and service</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8" w:type="dxa"/>
            <w:tcBorders/>
            <w:shd w:fill="CCEEFF" w:val="clear"/>
            <w:vAlign w:val="center"/>
          </w:tcPr>
          <w:p>
            <w:pPr>
              <w:pStyle w:val="TableContents"/>
              <w:bidi w:val="0"/>
              <w:spacing w:before="0" w:after="1"/>
              <w:ind w:left="0" w:right="0" w:hanging="0"/>
              <w:jc w:val="left"/>
              <w:rPr/>
            </w:pPr>
            <w:r>
              <w:rPr/>
              <w:t> </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w:t>
              <w:br/>
              <w:t>– Net investment</w:t>
            </w:r>
          </w:p>
        </w:tc>
        <w:tc>
          <w:tcPr>
            <w:tcW w:w="34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41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08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464" w:type="dxa"/>
            <w:tcBorders/>
            <w:vAlign w:val="center"/>
          </w:tcPr>
          <w:p>
            <w:pPr>
              <w:pStyle w:val="TableContents"/>
              <w:bidi w:val="0"/>
              <w:spacing w:before="0" w:after="1"/>
              <w:ind w:left="0" w:right="0" w:hanging="0"/>
              <w:jc w:val="right"/>
              <w:rPr/>
            </w:pPr>
            <w:r>
              <w:rPr/>
              <w:t>  ​</w:t>
            </w:r>
          </w:p>
        </w:tc>
        <w:tc>
          <w:tcPr>
            <w:tcW w:w="368" w:type="dxa"/>
            <w:tcBorders/>
            <w:vAlign w:val="center"/>
          </w:tcPr>
          <w:p>
            <w:pPr>
              <w:pStyle w:val="TableContents"/>
              <w:bidi w:val="0"/>
              <w:spacing w:before="0" w:after="1"/>
              <w:ind w:left="0" w:right="0" w:hanging="0"/>
              <w:jc w:val="left"/>
              <w:rPr/>
            </w:pPr>
            <w:r>
              <w:rPr/>
              <w:t>  ​</w:t>
            </w:r>
          </w:p>
        </w:tc>
        <w:tc>
          <w:tcPr>
            <w:tcW w:w="224" w:type="dxa"/>
            <w:tcBorders/>
            <w:vAlign w:val="center"/>
          </w:tcPr>
          <w:p>
            <w:pPr>
              <w:pStyle w:val="TableContents"/>
              <w:bidi w:val="0"/>
              <w:spacing w:before="0" w:after="1"/>
              <w:ind w:left="0" w:right="0" w:hanging="0"/>
              <w:jc w:val="left"/>
              <w:rPr/>
            </w:pPr>
            <w:r>
              <w:rPr/>
              <w:t> </w:t>
            </w:r>
          </w:p>
        </w:tc>
        <w:tc>
          <w:tcPr>
            <w:tcW w:w="623" w:type="dxa"/>
            <w:tcBorders/>
            <w:vAlign w:val="center"/>
          </w:tcPr>
          <w:p>
            <w:pPr>
              <w:pStyle w:val="TableContents"/>
              <w:bidi w:val="0"/>
              <w:spacing w:before="0" w:after="1"/>
              <w:ind w:left="0" w:right="0" w:hanging="0"/>
              <w:jc w:val="right"/>
              <w:rPr/>
            </w:pPr>
            <w:r>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75" w:name="Tc_WhtH66Jc0UK5XObdzY0dqg_12_5"/>
      <w:bookmarkStart w:id="876" w:name="Tc_Mi3oz6y_w0SHIf5yzSInfg_12_2"/>
      <w:bookmarkStart w:id="877" w:name="Tc_h1OJaYwoB0OSY1a7v4FM-w_12_0"/>
      <w:bookmarkStart w:id="878" w:name="Tc_aI-NWeI3h0Cq--65BnlOKQ_11_13"/>
      <w:bookmarkStart w:id="879" w:name="Tc_tVYxrhD-Q0iWbsFqCFxcug_11_10"/>
      <w:bookmarkStart w:id="880" w:name="Tc_HuldCzjgFUiyfXKiFSn0cA_11_8"/>
      <w:bookmarkStart w:id="881" w:name="Tc_mbGRki1e6UmSTOlHnq3Zaw_11_5"/>
      <w:bookmarkStart w:id="882" w:name="Tc_8YkL5qzjuE2lBKxpnVRsRQ_11_2"/>
      <w:bookmarkStart w:id="883" w:name="Tc_z2X_3g8TekupHlrUOEMGOw_11_0"/>
      <w:bookmarkStart w:id="884" w:name="Tc_SViIF5wpfUaTavdue1-W3g_10_0"/>
      <w:bookmarkStart w:id="885" w:name="Tc_Ukl3mTLwNkq0KEjHKMpZNg_9_0"/>
      <w:bookmarkStart w:id="886" w:name="Tc_y9tYU6wsx0GIb-7g2FZvbQ_8_13"/>
      <w:bookmarkStart w:id="887" w:name="Tc_pATDPzF2ykOmNEhyb50Ffw_8_10"/>
      <w:bookmarkStart w:id="888" w:name="Tc_OV2MqyonY0OHhtocG-DuKg_8_5"/>
      <w:bookmarkStart w:id="889" w:name="Tc_nr20F9h-rkypRFbGAYBO_A_8_2"/>
      <w:bookmarkStart w:id="890" w:name="Tc_ccChxrJdAkiRfwXQ-ZjWpA_8_0"/>
      <w:bookmarkStart w:id="891" w:name="Tc_FTfQE98fbkqQSXKDyji67A_7_10"/>
      <w:bookmarkStart w:id="892" w:name="Tc_OQsrzD0srEOnJrEMX5AUfA_7_2"/>
      <w:bookmarkStart w:id="893" w:name="Tc_wSnn-N2LA0u6JViKQ_TiZA_6_10"/>
      <w:bookmarkStart w:id="894" w:name="Tc_kjMwkwXBYEKbaiq0KZiR2w_6_2"/>
      <w:bookmarkStart w:id="895" w:name="Tc_OGCiSYOx20-AcwX5hHblFQ_5_10"/>
      <w:bookmarkStart w:id="896" w:name="Tc__OmWNaqCgECxKcyyd9FU7g_5_8"/>
      <w:bookmarkStart w:id="897" w:name="Tc_2Fz2_UTZVkOj0kQG3fWkvw_5_2"/>
      <w:bookmarkStart w:id="898" w:name="Tc_bA7JzWq56UyVnYsy1YL_Iw_4_10"/>
      <w:bookmarkStart w:id="899" w:name="Tc_FaZnK7loYkS7Az40yPR53A_4_8"/>
      <w:bookmarkStart w:id="900" w:name="Tc_Y5LVGFIit0uVQWTjFquM7Q_4_2"/>
      <w:bookmarkStart w:id="901" w:name="Tc_J5zWYvt5OUegyvPNcZd1qg_3_10"/>
      <w:bookmarkStart w:id="902" w:name="Tc_NF2OtMp7LkmZGwJv7pkhfw_3_8"/>
      <w:bookmarkStart w:id="903" w:name="Tc_N773n7paUU64-ChLK-lDaw_3_2"/>
      <w:bookmarkStart w:id="904" w:name="Tc_g6yqmvBMZUWWac_qFBEX5A_2_10"/>
      <w:bookmarkStart w:id="905" w:name="Tc_0bEIU5j000uD3S4qR5aEQw_2_8"/>
      <w:bookmarkStart w:id="906" w:name="Tc_iyX5KEmRw0aYuHhkM-cmVA_2_2"/>
      <w:bookmarkStart w:id="907" w:name="Tc_lKrPgtWsl0i3ko2fL72RAg_1_10"/>
      <w:bookmarkStart w:id="908" w:name="Tc_K5iXLZyspUG3rpXt6RAa4g_1_8"/>
      <w:bookmarkStart w:id="909" w:name="_31b02994_40dd_4696_857c_91440f074285"/>
      <w:bookmarkStart w:id="910" w:name="Tc_N-QcVubRzU6gQEp3dOyweA_7_8"/>
      <w:bookmarkStart w:id="911" w:name="Tc_7dQJ_M8d60KV-_PB_lFW6Q_7_5"/>
      <w:bookmarkStart w:id="912" w:name="Tc_ZhHAezrMWEGEC0jUVSbryw_7_2"/>
      <w:bookmarkStart w:id="913" w:name="Tc_0lesN_O1REqdX1Go-q6lfQ_7_0"/>
      <w:bookmarkStart w:id="914" w:name="Tc_VPNz0I2PK0CKBtOmgrmqHA_6_3"/>
      <w:bookmarkStart w:id="915" w:name="Tc_FvFa2FCd2UmxXbUGKesyMA_6_0"/>
      <w:bookmarkStart w:id="916" w:name="Tc_IjmFKbPrDUC3K8d5xo45mQ_5_3"/>
      <w:bookmarkStart w:id="917" w:name="Tc_aYchhRwA5EyJAeLu5qgpKQ_5_0"/>
      <w:bookmarkStart w:id="918" w:name="Tc_d0lW5NfbSEqQY0FCkGFhAg_4_0"/>
      <w:bookmarkStart w:id="919" w:name="Tc_cpce9CNQUUWO0CZN1gN5Jg_3_8"/>
      <w:bookmarkStart w:id="920" w:name="Tc_NCRfSseJ6Ee_OCpb7gOeKA_3_5"/>
      <w:bookmarkStart w:id="921" w:name="Tc_b-GK-tsTikmOJKVOfY1KrA_3_2"/>
      <w:bookmarkStart w:id="922" w:name="Tc_ktX4gJrpDUCwM2iDF0cmTQ_3_0"/>
      <w:bookmarkStart w:id="923" w:name="Tc_DR0sgNOEak2nZpOG5T6GDg_2_8"/>
      <w:bookmarkStart w:id="924" w:name="Tc_9sy4stJCWkSnQ4D-Vh0YSw_2_5"/>
      <w:bookmarkStart w:id="925" w:name="Tc_797_dHr20U278JHd8RNqmA_2_2"/>
      <w:bookmarkStart w:id="926" w:name="Tc_KWQ0Ioj9JU6F5g1cjRiPoQ_1_5"/>
      <w:bookmarkStart w:id="927" w:name="Tc_IFTh04tf5Uq-7k_rT2a1ow_1_2"/>
      <w:bookmarkStart w:id="928" w:name="_d3cb1a69_a45d_4413_9bd3_71bca74a641c"/>
      <w:bookmarkStart w:id="929" w:name="Tc_3cnyb1uJzUGwPrZ_RZ9iRQ_8_7"/>
      <w:bookmarkStart w:id="930" w:name="Tc__fSCwncYhECmQwvLRvBpAA_8_4"/>
      <w:bookmarkStart w:id="931" w:name="Tc_xS2kr8wem0KXLFWxsTR_XQ_8_2"/>
      <w:bookmarkStart w:id="932" w:name="Tc_sq0HNHd1aUS7r9MG98Ya4A_8_0"/>
      <w:bookmarkStart w:id="933" w:name="Tc_0Y3EZm_zE0OxJtVohB8W3w_7_0"/>
      <w:bookmarkStart w:id="934" w:name="Tc_D4J4lOJi_EG3_WAcgQEpaA_6_7"/>
      <w:bookmarkStart w:id="935" w:name="Tc_sstUK2iDBEKChLJF677iaw_6_4"/>
      <w:bookmarkStart w:id="936" w:name="Tc_FqfOD5aUnE-EoMzcqjOVZg_5_4"/>
      <w:bookmarkStart w:id="937" w:name="Tc_674jdgwGV0OI6bKYlFJHGw_4_4"/>
      <w:bookmarkStart w:id="938" w:name="Tc_n5fJ5ce-sUyxGWWFsT_L7g_3_4"/>
      <w:bookmarkStart w:id="939" w:name="Tc_hqLONA1OYkCFkB9eusF98g_3_2"/>
      <w:bookmarkStart w:id="940" w:name="Tc_6LUsbvrG2EWyBYWUQva1dQ_3_0"/>
      <w:bookmarkStart w:id="941" w:name="Tc_LtcduPO4kkGlLpyhVk6R4Q_2_4"/>
      <w:bookmarkStart w:id="942" w:name="Tc_k54v07HGe0CXa5yns8HtBg_2_2"/>
      <w:bookmarkStart w:id="943" w:name="Tc_NxFpmEqt1EO4xW8ZedJ_9Q_1_2"/>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r>
        <w:rPr>
          <w:rFonts w:ascii="Times New Roman;Times;serif" w:hAnsi="Times New Roman;Times;serif"/>
          <w:sz w:val="20"/>
        </w:rPr>
        <w:t>We did not recognize any gains or losses as a result of hedges deemed ineffective for either of the three months ended July 31, 2026 or 2025. We recognized the following gains and losses in our Condensed Consolidated Statements of Operations during the three months ended July 31, 2026 and 2025, on derivative instruments not designated as hedging instruments (in thousands):</w:t>
      </w:r>
    </w:p>
    <w:p>
      <w:pPr>
        <w:pStyle w:val="TextBody"/>
        <w:bidi w:val="0"/>
        <w:spacing w:before="0" w:after="240"/>
        <w:ind w:left="0" w:right="0" w:hanging="0"/>
        <w:jc w:val="both"/>
        <w:rPr/>
      </w:pPr>
      <w:r>
        <w:rPr/>
        <w:t>​</w:t>
      </w:r>
    </w:p>
    <w:tbl>
      <w:tblPr>
        <w:tblW w:w="8780" w:type="dxa"/>
        <w:jc w:val="left"/>
        <w:tblInd w:w="0" w:type="dxa"/>
        <w:tblLayout w:type="fixed"/>
        <w:tblCellMar>
          <w:top w:w="0" w:type="dxa"/>
          <w:left w:w="0" w:type="dxa"/>
          <w:bottom w:w="0" w:type="dxa"/>
          <w:right w:w="0" w:type="dxa"/>
        </w:tblCellMar>
      </w:tblPr>
      <w:tblGrid>
        <w:gridCol w:w="3391"/>
        <w:gridCol w:w="346"/>
        <w:gridCol w:w="2371"/>
        <w:gridCol w:w="346"/>
        <w:gridCol w:w="278"/>
        <w:gridCol w:w="417"/>
        <w:gridCol w:w="456"/>
        <w:gridCol w:w="278"/>
        <w:gridCol w:w="897"/>
      </w:tblGrid>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05585" cy="175260"/>
                      <wp:effectExtent l="0" t="0" r="0" b="0"/>
                      <wp:wrapNone/>
                      <wp:docPr id="109" name="Frame109"/>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76530" cy="175260"/>
                      <wp:effectExtent l="0" t="0" r="0" b="0"/>
                      <wp:wrapNone/>
                      <wp:docPr id="111" name="Frame11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64795" cy="175260"/>
                      <wp:effectExtent l="0" t="0" r="0" b="0"/>
                      <wp:wrapNone/>
                      <wp:docPr id="112" name="Frame112"/>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89560" cy="175260"/>
                      <wp:effectExtent l="0" t="0" r="0" b="0"/>
                      <wp:wrapNone/>
                      <wp:docPr id="113" name="Frame113"/>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76530" cy="175260"/>
                      <wp:effectExtent l="0" t="0" r="0" b="0"/>
                      <wp:wrapNone/>
                      <wp:docPr id="114" name="Frame11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9595" cy="175260"/>
                      <wp:effectExtent l="0" t="0" r="0" b="0"/>
                      <wp:wrapNone/>
                      <wp:docPr id="115" name="Frame115"/>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 of Gain </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45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97"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Recognized</w:t>
            </w:r>
          </w:p>
        </w:tc>
        <w:tc>
          <w:tcPr>
            <w:tcW w:w="346" w:type="dxa"/>
            <w:tcBorders/>
            <w:vAlign w:val="center"/>
          </w:tcPr>
          <w:p>
            <w:pPr>
              <w:pStyle w:val="TableContents"/>
              <w:bidi w:val="0"/>
              <w:spacing w:before="0" w:after="1"/>
              <w:ind w:left="0" w:right="0" w:hanging="0"/>
              <w:jc w:val="left"/>
              <w:rPr/>
            </w:pPr>
            <w:r>
              <w:rPr/>
              <w:t>​</w:t>
            </w:r>
          </w:p>
        </w:tc>
        <w:tc>
          <w:tcPr>
            <w:tcW w:w="232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 (Loss)</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  ​ ​ ​</w:t>
            </w:r>
          </w:p>
        </w:tc>
        <w:tc>
          <w:tcPr>
            <w:tcW w:w="237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20"/>
              </w:rPr>
              <w:t>in Operations</w:t>
            </w:r>
          </w:p>
        </w:tc>
        <w:tc>
          <w:tcPr>
            <w:tcW w:w="346" w:type="dxa"/>
            <w:tcBorders/>
            <w:vAlign w:val="center"/>
          </w:tcPr>
          <w:p>
            <w:pPr>
              <w:pStyle w:val="TableContents"/>
              <w:bidi w:val="0"/>
              <w:spacing w:before="0" w:after="1"/>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Recognized in Operations</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6"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456" w:type="dxa"/>
            <w:tcBorders/>
            <w:vAlign w:val="center"/>
          </w:tcPr>
          <w:p>
            <w:pPr>
              <w:pStyle w:val="TableContents"/>
              <w:bidi w:val="0"/>
              <w:spacing w:before="0" w:after="1"/>
              <w:ind w:left="0" w:right="0" w:hanging="0"/>
              <w:jc w:val="left"/>
              <w:rPr/>
            </w:pPr>
            <w:r>
              <w:rPr/>
              <w:t>  ​ ​ ​</w:t>
            </w:r>
          </w:p>
        </w:tc>
        <w:tc>
          <w:tcPr>
            <w:tcW w:w="1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 Designated as Hedging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23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78"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right"/>
              <w:rPr/>
            </w:pPr>
            <w:r>
              <w:rPr/>
              <w:t>  ​</w:t>
            </w:r>
          </w:p>
        </w:tc>
        <w:tc>
          <w:tcPr>
            <w:tcW w:w="456" w:type="dxa"/>
            <w:tcBorders/>
            <w:shd w:fill="CCEEFF" w:val="clear"/>
            <w:vAlign w:val="center"/>
          </w:tcPr>
          <w:p>
            <w:pPr>
              <w:pStyle w:val="TableContents"/>
              <w:bidi w:val="0"/>
              <w:spacing w:before="0" w:after="1"/>
              <w:ind w:left="0" w:right="0" w:hanging="0"/>
              <w:jc w:val="left"/>
              <w:rPr/>
            </w:pPr>
            <w:r>
              <w:rPr/>
              <w:t> </w:t>
            </w:r>
          </w:p>
        </w:tc>
        <w:tc>
          <w:tcPr>
            <w:tcW w:w="278"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vAlign w:val="center"/>
          </w:tcPr>
          <w:p>
            <w:pPr>
              <w:pStyle w:val="TableContents"/>
              <w:bidi w:val="0"/>
              <w:spacing w:before="0" w:after="1"/>
              <w:ind w:left="0" w:right="0" w:hanging="0"/>
              <w:jc w:val="left"/>
              <w:rPr/>
            </w:pPr>
            <w:r>
              <w:rPr/>
              <w:t> </w:t>
            </w:r>
          </w:p>
        </w:tc>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456" w:type="dxa"/>
            <w:tcBorders/>
            <w:vAlign w:val="center"/>
          </w:tcPr>
          <w:p>
            <w:pPr>
              <w:pStyle w:val="TableContents"/>
              <w:bidi w:val="0"/>
              <w:spacing w:before="0" w:after="1"/>
              <w:ind w:left="0" w:right="0" w:hanging="0"/>
              <w:jc w:val="left"/>
              <w:rPr/>
            </w:pPr>
            <w:r>
              <w:rPr/>
              <w:t> </w:t>
            </w:r>
          </w:p>
        </w:tc>
        <w:tc>
          <w:tcPr>
            <w:tcW w:w="2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2,395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changes in the components of Accumulated other comprehensive loss, net of tax, for the three months ended July 31, 2026 (in thousands):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9354" w:type="dxa"/>
        <w:jc w:val="left"/>
        <w:tblInd w:w="0" w:type="dxa"/>
        <w:tblLayout w:type="fixed"/>
        <w:tblCellMar>
          <w:top w:w="0" w:type="dxa"/>
          <w:left w:w="0" w:type="dxa"/>
          <w:bottom w:w="0" w:type="dxa"/>
          <w:right w:w="0" w:type="dxa"/>
        </w:tblCellMar>
      </w:tblPr>
      <w:tblGrid>
        <w:gridCol w:w="4876"/>
        <w:gridCol w:w="346"/>
        <w:gridCol w:w="342"/>
        <w:gridCol w:w="1293"/>
        <w:gridCol w:w="109"/>
        <w:gridCol w:w="231"/>
        <w:gridCol w:w="759"/>
        <w:gridCol w:w="346"/>
        <w:gridCol w:w="211"/>
        <w:gridCol w:w="84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096260" cy="175260"/>
                      <wp:effectExtent l="0" t="0" r="0" b="0"/>
                      <wp:wrapNone/>
                      <wp:docPr id="116" name="Frame116"/>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7170" cy="175260"/>
                      <wp:effectExtent l="0" t="0" r="0" b="0"/>
                      <wp:wrapNone/>
                      <wp:docPr id="118" name="Frame118"/>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21055" cy="175260"/>
                      <wp:effectExtent l="0" t="0" r="0" b="0"/>
                      <wp:wrapNone/>
                      <wp:docPr id="119" name="Frame119"/>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9215" cy="175260"/>
                      <wp:effectExtent l="0" t="0" r="0" b="0"/>
                      <wp:wrapNone/>
                      <wp:docPr id="120"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6685" cy="175260"/>
                      <wp:effectExtent l="0" t="0" r="0" b="0"/>
                      <wp:wrapNone/>
                      <wp:docPr id="121" name="Frame121"/>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81965" cy="175260"/>
                      <wp:effectExtent l="0" t="0" r="0" b="0"/>
                      <wp:wrapNone/>
                      <wp:docPr id="122" name="Frame122"/>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34035" cy="175260"/>
                      <wp:effectExtent l="0" t="0" r="0" b="0"/>
                      <wp:wrapNone/>
                      <wp:docPr id="125" name="Frame12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3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Foreign Currency</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Cash Flow</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109" w:type="dxa"/>
            <w:tcBorders/>
            <w:vAlign w:val="center"/>
          </w:tcPr>
          <w:p>
            <w:pPr>
              <w:pStyle w:val="TableContents"/>
              <w:bidi w:val="0"/>
              <w:spacing w:before="0" w:after="1"/>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Hedges</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April 30, 2026</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(8,781)</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(10,331)</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12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(2,901)</w:t>
            </w:r>
          </w:p>
        </w:tc>
        <w:tc>
          <w:tcPr>
            <w:tcW w:w="109"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(3,030)</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pPr>
            <w:r>
              <w:rPr/>
              <w:t> </w:t>
            </w:r>
          </w:p>
        </w:tc>
        <w:tc>
          <w:tcPr>
            <w:tcW w:w="12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valuation allowances</w:t>
            </w:r>
          </w:p>
        </w:tc>
        <w:tc>
          <w:tcPr>
            <w:tcW w:w="346" w:type="dxa"/>
            <w:tcBorders/>
            <w:vAlign w:val="center"/>
          </w:tcPr>
          <w:p>
            <w:pPr>
              <w:pStyle w:val="TableContents"/>
              <w:bidi w:val="0"/>
              <w:spacing w:before="0" w:after="1"/>
              <w:ind w:left="0" w:right="0" w:hanging="0"/>
              <w:jc w:val="left"/>
              <w:rPr/>
            </w:pPr>
            <w:r>
              <w:rPr/>
              <w:t>​</w:t>
            </w:r>
          </w:p>
        </w:tc>
        <w:tc>
          <w:tcPr>
            <w:tcW w:w="3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July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3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(11,682)</w:t>
            </w:r>
          </w:p>
        </w:tc>
        <w:tc>
          <w:tcPr>
            <w:tcW w:w="109"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Derivative instruments had the following effects on our Condensed Consolidated Balance Sheets, Condensed Consolidated Statements of Changes in Shareholders’ Equity, and Condensed Consolidated Statements of Operations, net of tax, during the nine months ended July 31, 2026 and 2025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804"/>
        <w:gridCol w:w="346"/>
        <w:gridCol w:w="211"/>
        <w:gridCol w:w="693"/>
        <w:gridCol w:w="346"/>
        <w:gridCol w:w="211"/>
        <w:gridCol w:w="535"/>
        <w:gridCol w:w="346"/>
        <w:gridCol w:w="1989"/>
        <w:gridCol w:w="346"/>
        <w:gridCol w:w="211"/>
        <w:gridCol w:w="532"/>
        <w:gridCol w:w="346"/>
        <w:gridCol w:w="211"/>
        <w:gridCol w:w="682"/>
        <w:gridCol w:w="396"/>
      </w:tblGrid>
      <w:tr>
        <w:trPr/>
        <w:tc>
          <w:tcPr>
            <w:tcW w:w="2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80540" cy="175260"/>
                      <wp:effectExtent l="0" t="0" r="0" b="0"/>
                      <wp:wrapNone/>
                      <wp:docPr id="126" name="Frame126"/>
                      <a:graphic xmlns:a="http://schemas.openxmlformats.org/drawingml/2006/main">
                        <a:graphicData uri="http://schemas.microsoft.com/office/word/2010/wordprocessingShape">
                          <wps:wsp>
                            <wps:cNvSpPr txBox="1"/>
                            <wps:spPr>
                              <a:xfrm>
                                <a:off x="0" y="0"/>
                                <a:ext cx="178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40055" cy="175260"/>
                      <wp:effectExtent l="0" t="0" r="0" b="0"/>
                      <wp:wrapNone/>
                      <wp:docPr id="129" name="Frame129"/>
                      <a:graphic xmlns:a="http://schemas.openxmlformats.org/drawingml/2006/main">
                        <a:graphicData uri="http://schemas.microsoft.com/office/word/2010/wordprocessingShape">
                          <wps:wsp>
                            <wps:cNvSpPr txBox="1"/>
                            <wps:spPr>
                              <a:xfrm>
                                <a:off x="0" y="0"/>
                                <a:ext cx="440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39725" cy="175260"/>
                      <wp:effectExtent l="0" t="0" r="0" b="0"/>
                      <wp:wrapNone/>
                      <wp:docPr id="132" name="Frame13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263015" cy="175260"/>
                      <wp:effectExtent l="0" t="0" r="0" b="0"/>
                      <wp:wrapNone/>
                      <wp:docPr id="134" name="Frame134"/>
                      <a:graphic xmlns:a="http://schemas.openxmlformats.org/drawingml/2006/main">
                        <a:graphicData uri="http://schemas.microsoft.com/office/word/2010/wordprocessingShape">
                          <wps:wsp>
                            <wps:cNvSpPr txBox="1"/>
                            <wps:spPr>
                              <a:xfrm>
                                <a:off x="0" y="0"/>
                                <a:ext cx="1263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37820" cy="175260"/>
                      <wp:effectExtent l="0" t="0" r="0" b="0"/>
                      <wp:wrapNone/>
                      <wp:docPr id="137" name="Frame137"/>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33070" cy="175260"/>
                      <wp:effectExtent l="0" t="0" r="0" b="0"/>
                      <wp:wrapNone/>
                      <wp:docPr id="140" name="Frame140"/>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51460" cy="175260"/>
                      <wp:effectExtent l="0" t="0" r="0" b="0"/>
                      <wp:wrapNone/>
                      <wp:docPr id="141" name="Frame141"/>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 of Gain</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 (Loss)</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(Loss) Reclassified</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(Loss) Reclassified</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Recognized in Other</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from Other</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from Other</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vAlign w:val="center"/>
          </w:tcPr>
          <w:p>
            <w:pPr>
              <w:pStyle w:val="TableContents"/>
              <w:bidi w:val="0"/>
              <w:spacing w:before="0" w:after="1"/>
              <w:ind w:left="0" w:right="0" w:hanging="0"/>
              <w:jc w:val="center"/>
              <w:rPr/>
            </w:pPr>
            <w:r>
              <w:rPr/>
              <w:t> </w:t>
            </w: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Comprehensive</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c>
          <w:tcPr>
            <w:tcW w:w="346" w:type="dxa"/>
            <w:tcBorders/>
            <w:vAlign w:val="center"/>
          </w:tcPr>
          <w:p>
            <w:pPr>
              <w:pStyle w:val="TableContents"/>
              <w:bidi w:val="0"/>
              <w:spacing w:before="0" w:after="1"/>
              <w:ind w:left="0" w:right="0" w:hanging="0"/>
              <w:jc w:val="left"/>
              <w:rPr/>
            </w:pPr>
            <w:r>
              <w:rPr/>
              <w:t>​</w:t>
            </w:r>
          </w:p>
        </w:tc>
        <w:tc>
          <w:tcPr>
            <w:tcW w:w="19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Income (Loss)</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Nine Months Ended </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Nine Months Ended </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c>
          <w:tcPr>
            <w:tcW w:w="396" w:type="dxa"/>
            <w:tcBorders/>
            <w:vAlign w:val="center"/>
          </w:tcPr>
          <w:p>
            <w:pPr>
              <w:pStyle w:val="TableContents"/>
              <w:bidi w:val="0"/>
              <w:spacing w:before="0" w:after="1"/>
              <w:ind w:left="0" w:right="0" w:hanging="0"/>
              <w:jc w:val="left"/>
              <w:rPr/>
            </w:pPr>
            <w:r>
              <w:rPr/>
              <w:t>​</w:t>
            </w:r>
          </w:p>
        </w:tc>
      </w:tr>
      <w:tr>
        <w:trPr/>
        <w:tc>
          <w:tcPr>
            <w:tcW w:w="2804"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  ​ ​ ​</w:t>
            </w:r>
          </w:p>
        </w:tc>
        <w:tc>
          <w:tcPr>
            <w:tcW w:w="9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 ​ ​</w:t>
            </w:r>
          </w:p>
        </w:tc>
        <w:tc>
          <w:tcPr>
            <w:tcW w:w="7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46" w:type="dxa"/>
            <w:tcBorders/>
            <w:vAlign w:val="center"/>
          </w:tcPr>
          <w:p>
            <w:pPr>
              <w:pStyle w:val="TableContents"/>
              <w:bidi w:val="0"/>
              <w:spacing w:before="0" w:after="1"/>
              <w:ind w:left="0" w:right="0" w:hanging="0"/>
              <w:jc w:val="left"/>
              <w:rPr/>
            </w:pPr>
            <w:r>
              <w:rPr/>
              <w:t>  ​ ​ ​</w:t>
            </w:r>
          </w:p>
        </w:tc>
        <w:tc>
          <w:tcPr>
            <w:tcW w:w="198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 ​ ​</w:t>
            </w:r>
          </w:p>
        </w:tc>
        <w:tc>
          <w:tcPr>
            <w:tcW w:w="8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96" w:type="dxa"/>
            <w:tcBorders/>
            <w:vAlign w:val="center"/>
          </w:tcPr>
          <w:p>
            <w:pPr>
              <w:pStyle w:val="TableContents"/>
              <w:bidi w:val="0"/>
              <w:spacing w:before="0" w:after="1"/>
              <w:ind w:left="0" w:right="0" w:hanging="0"/>
              <w:jc w:val="left"/>
              <w:rPr/>
            </w:pPr>
            <w:r>
              <w:rPr/>
              <w:t>  ​ ​ ​</w:t>
            </w:r>
          </w:p>
        </w:tc>
      </w:tr>
      <w:tr>
        <w:trPr/>
        <w:tc>
          <w:tcPr>
            <w:tcW w:w="2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Designated as Hedging Instruments: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9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3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8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32"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82"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Portion)</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3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 </w:t>
            </w:r>
          </w:p>
        </w:tc>
      </w:tr>
      <w:tr>
        <w:trPr/>
        <w:tc>
          <w:tcPr>
            <w:tcW w:w="28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br/>
              <w:t>– Intercompany sales/purchases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19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 and service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w:t>
            </w:r>
          </w:p>
        </w:tc>
        <w:tc>
          <w:tcPr>
            <w:tcW w:w="396" w:type="dxa"/>
            <w:tcBorders/>
            <w:shd w:fill="CCEEFF" w:val="clear"/>
            <w:vAlign w:val="center"/>
          </w:tcPr>
          <w:p>
            <w:pPr>
              <w:pStyle w:val="TableContents"/>
              <w:bidi w:val="0"/>
              <w:spacing w:before="0" w:after="1"/>
              <w:ind w:left="0" w:right="0" w:hanging="0"/>
              <w:jc w:val="left"/>
              <w:rPr/>
            </w:pPr>
            <w:r>
              <w:rPr/>
              <w:t>​</w:t>
            </w:r>
          </w:p>
        </w:tc>
      </w:tr>
      <w:tr>
        <w:trPr/>
        <w:tc>
          <w:tcPr>
            <w:tcW w:w="280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w:t>
              <w:br/>
              <w:t>– Net investment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1"/>
              <w:ind w:left="0" w:right="0" w:hanging="0"/>
              <w:jc w:val="left"/>
              <w:rPr/>
            </w:pPr>
            <w:r>
              <w:rPr/>
              <w:t>​</w:t>
            </w:r>
          </w:p>
        </w:tc>
        <w:tc>
          <w:tcPr>
            <w:tcW w:w="198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3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682" w:type="dxa"/>
            <w:tcBorders/>
            <w:vAlign w:val="center"/>
          </w:tcPr>
          <w:p>
            <w:pPr>
              <w:pStyle w:val="TableContents"/>
              <w:bidi w:val="0"/>
              <w:spacing w:before="0" w:after="1"/>
              <w:ind w:left="0" w:right="0" w:hanging="0"/>
              <w:jc w:val="right"/>
              <w:rPr/>
            </w:pPr>
            <w:r>
              <w:rPr/>
              <w:t>  ​</w:t>
            </w:r>
          </w:p>
        </w:tc>
        <w:tc>
          <w:tcPr>
            <w:tcW w:w="39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44" w:name="Tc_Eh6LNLZzckms4OHnKUW-Ug_8_8"/>
      <w:bookmarkStart w:id="945" w:name="Tc_LSVuzLWW6UK7_OD3tgTt3w_8_5"/>
      <w:bookmarkStart w:id="946" w:name="Tc_rQUT9pHOWkGt0ZJzgAtp2w_8_2"/>
      <w:bookmarkStart w:id="947" w:name="Tc_YNvqTRJ-fUKcrRC8QL80LQ_8_0"/>
      <w:bookmarkStart w:id="948" w:name="Tc_st5QXcOiOE-XK-61VJTE5A_7_3"/>
      <w:bookmarkStart w:id="949" w:name="Tc_8gswFsV2EUOHKA4HcCOQHA_7_0"/>
      <w:bookmarkStart w:id="950" w:name="Tc_BWdD5KLxiEa-wqq7WWIWwQ_6_3"/>
      <w:bookmarkStart w:id="951" w:name="Tc_BYoF88t_VEmhrbII1ZbZ5A_6_0"/>
      <w:bookmarkStart w:id="952" w:name="Tc_0OP3XCEf2U-isaQlx7z8Zw_5_0"/>
      <w:bookmarkStart w:id="953" w:name="Tc_aLkBqEZfLkK3q4tzaa4URg_4_8"/>
      <w:bookmarkStart w:id="954" w:name="Tc_hUYJTl5XR0uIdz-4ncuG1w_4_5"/>
      <w:bookmarkStart w:id="955" w:name="Tc_Kpu92PIWsUCST2B8y9QyGQ_4_2"/>
      <w:bookmarkStart w:id="956" w:name="Tc_ePK2Tqyz2EOPm-1pWCZoXA_4_0"/>
      <w:bookmarkStart w:id="957" w:name="Tc_NVggZrejUkeY8Zbv_6Sp-Q_3_8"/>
      <w:bookmarkStart w:id="958" w:name="Tc_R1ou_fEZJUKwRw3pJUMk3Q_3_5"/>
      <w:bookmarkStart w:id="959" w:name="Tc_vCwmEb20iUe8eL4uJafTig_3_2"/>
      <w:bookmarkStart w:id="960" w:name="Tc_3Zh59GX3yES8Ymg1xyNzXQ_2_5"/>
      <w:bookmarkStart w:id="961" w:name="Tc_lfV74PPqHE-IBdrHgdk6sA_2_2"/>
      <w:bookmarkStart w:id="962" w:name="Tc_lpPyOMtSw0WlX3_WmpMYDQ_1_5"/>
      <w:bookmarkStart w:id="963" w:name="Tc_jmnbo0zHVEetooqMra6ykQ_1_2"/>
      <w:bookmarkStart w:id="964" w:name="_ec99d08d_3b8c_42d5_ae18_600674436bfd"/>
      <w:bookmarkStart w:id="965" w:name="Tc_7554OfO4HE2mHmzbwgZ2Yw_8_7"/>
      <w:bookmarkStart w:id="966" w:name="Tc_CHXwMwgZwUGls8lfGgD97Q_8_4"/>
      <w:bookmarkStart w:id="967" w:name="Tc_sAI3TLFp80Gpiu8NscESXA_8_2"/>
      <w:bookmarkStart w:id="968" w:name="Tc_3xFNXlB6ukeqDp3dqRmj1w_8_0"/>
      <w:bookmarkStart w:id="969" w:name="Tc_lvIV6whOzEOycgLvKoPE4w_7_0"/>
      <w:bookmarkStart w:id="970" w:name="Tc_ktsoaHdZ10OgXB0ucrI7Bw_6_7"/>
      <w:bookmarkStart w:id="971" w:name="Tc_YvTE_nAqSUGAvTvilzADMQ_6_4"/>
      <w:bookmarkStart w:id="972" w:name="Tc_dQkBT2zpcUm6xmAOyIUbYA_6_0"/>
      <w:bookmarkStart w:id="973" w:name="Tc_s-JQVL7kK0WdlASIsKxmkQ_5_4"/>
      <w:bookmarkStart w:id="974" w:name="Tc_EKizaBoxLkS1xd73aApeiA_4_4"/>
      <w:bookmarkStart w:id="975" w:name="Tc__48MqXufkUG2e-QAQYb5zg_3_4"/>
      <w:bookmarkStart w:id="976" w:name="Tc_Omy1LM5Od0is0G2CSrwvDg_3_2"/>
      <w:bookmarkStart w:id="977" w:name="Tc_bRQFMWlgMkmohylicRAHPw_3_0"/>
      <w:bookmarkStart w:id="978" w:name="Tc_M5o3G1y0kU-sKabkoWw-jw_2_4"/>
      <w:bookmarkStart w:id="979" w:name="Tc_79jTmY8UuUKSIxAWEOrDEQ_2_2"/>
      <w:bookmarkStart w:id="980" w:name="Tc_Y9row_d7FEKevB6FaJmXHA_1_2"/>
      <w:bookmarkStart w:id="981" w:name="_711f0466_e7bb_44d7_a8ec_d4a3e6400e8d"/>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Times;serif" w:hAnsi="Times New Roman;Times;serif"/>
          <w:sz w:val="20"/>
        </w:rPr>
        <w:t>We did not recognize any gains or losses as a result of hedges deemed ineffective for either of the nine months ended July 31, 2026 or 2025. We recognized the following gains and losses in our Condensed Consolidated Statements of Operations during the nine months ended July 31, 2026 and 2025, on derivative instruments not designated as hedging instruments (in thousands):</w:t>
      </w:r>
    </w:p>
    <w:p>
      <w:pPr>
        <w:pStyle w:val="TextBody"/>
        <w:bidi w:val="0"/>
        <w:spacing w:before="0" w:after="240"/>
        <w:ind w:left="0" w:right="0" w:hanging="0"/>
        <w:jc w:val="both"/>
        <w:rPr/>
      </w:pPr>
      <w:r>
        <w:rPr/>
        <w:t>​</w:t>
      </w:r>
    </w:p>
    <w:tbl>
      <w:tblPr>
        <w:tblW w:w="9126" w:type="dxa"/>
        <w:jc w:val="left"/>
        <w:tblInd w:w="0" w:type="dxa"/>
        <w:tblLayout w:type="fixed"/>
        <w:tblCellMar>
          <w:top w:w="0" w:type="dxa"/>
          <w:left w:w="0" w:type="dxa"/>
          <w:bottom w:w="0" w:type="dxa"/>
          <w:right w:w="0" w:type="dxa"/>
        </w:tblCellMar>
      </w:tblPr>
      <w:tblGrid>
        <w:gridCol w:w="3391"/>
        <w:gridCol w:w="346"/>
        <w:gridCol w:w="2371"/>
        <w:gridCol w:w="346"/>
        <w:gridCol w:w="264"/>
        <w:gridCol w:w="790"/>
        <w:gridCol w:w="432"/>
        <w:gridCol w:w="264"/>
        <w:gridCol w:w="531"/>
        <w:gridCol w:w="391"/>
      </w:tblGrid>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05585" cy="175260"/>
                      <wp:effectExtent l="0" t="0" r="0" b="0"/>
                      <wp:wrapNone/>
                      <wp:docPr id="143" name="Frame143"/>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7640" cy="175260"/>
                      <wp:effectExtent l="0" t="0" r="0" b="0"/>
                      <wp:wrapNone/>
                      <wp:docPr id="145" name="Frame145"/>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1650" cy="175260"/>
                      <wp:effectExtent l="0" t="0" r="0" b="0"/>
                      <wp:wrapNone/>
                      <wp:docPr id="146" name="Frame146"/>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74320" cy="175260"/>
                      <wp:effectExtent l="0" t="0" r="0" b="0"/>
                      <wp:wrapNone/>
                      <wp:docPr id="147" name="Frame14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7640" cy="175260"/>
                      <wp:effectExtent l="0" t="0" r="0" b="0"/>
                      <wp:wrapNone/>
                      <wp:docPr id="148" name="Frame14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37185" cy="175260"/>
                      <wp:effectExtent l="0" t="0" r="0" b="0"/>
                      <wp:wrapNone/>
                      <wp:docPr id="149" name="Frame14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48285" cy="175260"/>
                      <wp:effectExtent l="0" t="0" r="0" b="0"/>
                      <wp:wrapNone/>
                      <wp:docPr id="150" name="Frame1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Location of Gain </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Recognized</w:t>
            </w:r>
          </w:p>
        </w:tc>
        <w:tc>
          <w:tcPr>
            <w:tcW w:w="346" w:type="dxa"/>
            <w:tcBorders/>
            <w:vAlign w:val="center"/>
          </w:tcPr>
          <w:p>
            <w:pPr>
              <w:pStyle w:val="TableContents"/>
              <w:bidi w:val="0"/>
              <w:spacing w:before="0" w:after="1"/>
              <w:ind w:left="0" w:right="0" w:hanging="0"/>
              <w:jc w:val="left"/>
              <w:rPr/>
            </w:pPr>
            <w:r>
              <w:rPr/>
              <w:t>​</w:t>
            </w:r>
          </w:p>
        </w:tc>
        <w:tc>
          <w:tcPr>
            <w:tcW w:w="2281"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Amount of Gain (Loss)</w:t>
            </w:r>
          </w:p>
        </w:tc>
        <w:tc>
          <w:tcPr>
            <w:tcW w:w="391" w:type="dxa"/>
            <w:tcBorders/>
            <w:vAlign w:val="center"/>
          </w:tcPr>
          <w:p>
            <w:pPr>
              <w:pStyle w:val="TableContents"/>
              <w:bidi w:val="0"/>
              <w:spacing w:before="0" w:after="1"/>
              <w:ind w:left="0" w:right="0" w:hanging="0"/>
              <w:jc w:val="left"/>
              <w:rPr/>
            </w:pPr>
            <w:r>
              <w:rPr/>
              <w:t>​</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w:t>
            </w:r>
          </w:p>
        </w:tc>
        <w:tc>
          <w:tcPr>
            <w:tcW w:w="237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20"/>
              </w:rPr>
              <w:t>in Operations</w:t>
            </w:r>
          </w:p>
        </w:tc>
        <w:tc>
          <w:tcPr>
            <w:tcW w:w="346" w:type="dxa"/>
            <w:tcBorders/>
            <w:vAlign w:val="center"/>
          </w:tcPr>
          <w:p>
            <w:pPr>
              <w:pStyle w:val="TableContents"/>
              <w:bidi w:val="0"/>
              <w:spacing w:before="0" w:after="1"/>
              <w:ind w:left="0" w:right="0" w:hanging="0"/>
              <w:jc w:val="left"/>
              <w:rPr/>
            </w:pPr>
            <w:r>
              <w:rPr/>
              <w:t>​</w:t>
            </w:r>
          </w:p>
        </w:tc>
        <w:tc>
          <w:tcPr>
            <w:tcW w:w="22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Recognized in Operations</w:t>
            </w:r>
          </w:p>
        </w:tc>
        <w:tc>
          <w:tcPr>
            <w:tcW w:w="391"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1"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Nine Months Ended </w:t>
            </w:r>
          </w:p>
        </w:tc>
        <w:tc>
          <w:tcPr>
            <w:tcW w:w="391" w:type="dxa"/>
            <w:tcBorders/>
            <w:vAlign w:val="center"/>
          </w:tcPr>
          <w:p>
            <w:pPr>
              <w:pStyle w:val="TableContents"/>
              <w:bidi w:val="0"/>
              <w:spacing w:before="0" w:after="1"/>
              <w:ind w:left="0" w:right="0" w:hanging="0"/>
              <w:jc w:val="left"/>
              <w:rPr/>
            </w:pPr>
            <w:r>
              <w:rPr/>
              <w:t>​</w:t>
            </w:r>
          </w:p>
        </w:tc>
      </w:tr>
      <w:tr>
        <w:trPr/>
        <w:tc>
          <w:tcPr>
            <w:tcW w:w="33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July 31, </w:t>
            </w:r>
          </w:p>
        </w:tc>
        <w:tc>
          <w:tcPr>
            <w:tcW w:w="391" w:type="dxa"/>
            <w:tcBorders/>
            <w:vAlign w:val="center"/>
          </w:tcPr>
          <w:p>
            <w:pPr>
              <w:pStyle w:val="TableContents"/>
              <w:bidi w:val="0"/>
              <w:spacing w:before="0" w:after="1"/>
              <w:ind w:left="0" w:right="0" w:hanging="0"/>
              <w:jc w:val="left"/>
              <w:rPr/>
            </w:pPr>
            <w:r>
              <w:rPr/>
              <w:t>​</w:t>
            </w:r>
          </w:p>
        </w:tc>
      </w:tr>
      <w:tr>
        <w:trPr/>
        <w:tc>
          <w:tcPr>
            <w:tcW w:w="33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Derivatives</w:t>
            </w:r>
          </w:p>
        </w:tc>
        <w:tc>
          <w:tcPr>
            <w:tcW w:w="346" w:type="dxa"/>
            <w:tcBorders/>
            <w:vAlign w:val="center"/>
          </w:tcPr>
          <w:p>
            <w:pPr>
              <w:pStyle w:val="TableContents"/>
              <w:bidi w:val="0"/>
              <w:spacing w:before="0" w:after="1"/>
              <w:ind w:left="0" w:right="0" w:hanging="0"/>
              <w:jc w:val="left"/>
              <w:rPr/>
            </w:pPr>
            <w:r>
              <w:rPr/>
              <w:t>  ​ ​ ​</w:t>
            </w:r>
          </w:p>
        </w:tc>
        <w:tc>
          <w:tcPr>
            <w:tcW w:w="23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2026</w:t>
            </w:r>
          </w:p>
        </w:tc>
        <w:tc>
          <w:tcPr>
            <w:tcW w:w="432" w:type="dxa"/>
            <w:tcBorders/>
            <w:vAlign w:val="center"/>
          </w:tcPr>
          <w:p>
            <w:pPr>
              <w:pStyle w:val="TableContents"/>
              <w:bidi w:val="0"/>
              <w:spacing w:before="0" w:after="1"/>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2025</w:t>
            </w:r>
          </w:p>
        </w:tc>
        <w:tc>
          <w:tcPr>
            <w:tcW w:w="391" w:type="dxa"/>
            <w:tcBorders/>
            <w:vAlign w:val="center"/>
          </w:tcPr>
          <w:p>
            <w:pPr>
              <w:pStyle w:val="TableContents"/>
              <w:bidi w:val="0"/>
              <w:spacing w:before="0" w:after="1"/>
              <w:ind w:left="0" w:right="0" w:hanging="0"/>
              <w:jc w:val="left"/>
              <w:rPr/>
            </w:pPr>
            <w:r>
              <w:rPr/>
              <w:t>  ​ ​ ​</w:t>
            </w:r>
          </w:p>
        </w:tc>
      </w:tr>
      <w:tr>
        <w:trPr/>
        <w:tc>
          <w:tcPr>
            <w:tcW w:w="33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 Designated as Hedging Instruments:</w:t>
            </w:r>
          </w:p>
        </w:tc>
        <w:tc>
          <w:tcPr>
            <w:tcW w:w="346" w:type="dxa"/>
            <w:tcBorders/>
            <w:shd w:fill="CCEEFF" w:val="clear"/>
            <w:vAlign w:val="center"/>
          </w:tcPr>
          <w:p>
            <w:pPr>
              <w:pStyle w:val="TableContents"/>
              <w:bidi w:val="0"/>
              <w:spacing w:before="0" w:after="1"/>
              <w:ind w:left="0" w:right="0" w:hanging="0"/>
              <w:jc w:val="left"/>
              <w:rPr/>
            </w:pPr>
            <w:r>
              <w:rPr/>
              <w:t> </w:t>
            </w:r>
          </w:p>
        </w:tc>
        <w:tc>
          <w:tcPr>
            <w:tcW w:w="237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pPr>
            <w:r>
              <w:rPr/>
              <w:t>  ​</w:t>
            </w:r>
          </w:p>
        </w:tc>
        <w:tc>
          <w:tcPr>
            <w:tcW w:w="432" w:type="dxa"/>
            <w:tcBorders/>
            <w:shd w:fill="CCEEFF" w:val="clear"/>
            <w:vAlign w:val="center"/>
          </w:tcPr>
          <w:p>
            <w:pPr>
              <w:pStyle w:val="TableContents"/>
              <w:bidi w:val="0"/>
              <w:spacing w:before="0" w:after="1"/>
              <w:ind w:left="0" w:right="0" w:hanging="0"/>
              <w:jc w:val="left"/>
              <w:rPr/>
            </w:pPr>
            <w:r>
              <w:rPr/>
              <w:t> </w:t>
            </w:r>
          </w:p>
        </w:tc>
        <w:tc>
          <w:tcPr>
            <w:tcW w:w="26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 </w:t>
            </w:r>
          </w:p>
        </w:tc>
      </w:tr>
      <w:tr>
        <w:trPr/>
        <w:tc>
          <w:tcPr>
            <w:tcW w:w="33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forward contracts</w:t>
            </w:r>
          </w:p>
        </w:tc>
        <w:tc>
          <w:tcPr>
            <w:tcW w:w="346" w:type="dxa"/>
            <w:tcBorders/>
            <w:vAlign w:val="center"/>
          </w:tcPr>
          <w:p>
            <w:pPr>
              <w:pStyle w:val="TableContents"/>
              <w:bidi w:val="0"/>
              <w:spacing w:before="0" w:after="1"/>
              <w:ind w:left="0" w:right="0" w:hanging="0"/>
              <w:jc w:val="left"/>
              <w:rPr/>
            </w:pPr>
            <w:r>
              <w:rPr/>
              <w:t> </w:t>
            </w:r>
          </w:p>
        </w:tc>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(2,286)</w:t>
            </w:r>
          </w:p>
        </w:tc>
        <w:tc>
          <w:tcPr>
            <w:tcW w:w="432" w:type="dxa"/>
            <w:tcBorders/>
            <w:vAlign w:val="center"/>
          </w:tcPr>
          <w:p>
            <w:pPr>
              <w:pStyle w:val="TableContents"/>
              <w:bidi w:val="0"/>
              <w:spacing w:before="0" w:after="1"/>
              <w:ind w:left="0" w:right="0" w:hanging="0"/>
              <w:jc w:val="left"/>
              <w:rPr/>
            </w:pPr>
            <w:r>
              <w:rPr/>
              <w:t> </w:t>
            </w:r>
          </w:p>
        </w:tc>
        <w:tc>
          <w:tcPr>
            <w:tcW w:w="2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w:t>
            </w:r>
          </w:p>
        </w:tc>
        <w:tc>
          <w:tcPr>
            <w:tcW w:w="391" w:type="dxa"/>
            <w:tcBorders/>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changes in the components of Accumulated other comprehensive loss, net of tax, for the nine months ended July 31, 2026 (in thousands):</w:t>
      </w:r>
    </w:p>
    <w:p>
      <w:pPr>
        <w:pStyle w:val="TextBody"/>
        <w:bidi w:val="0"/>
        <w:spacing w:before="0" w:after="240"/>
        <w:ind w:left="0" w:right="0" w:hanging="0"/>
        <w:jc w:val="both"/>
        <w:rPr/>
      </w:pPr>
      <w:r>
        <w:rPr/>
        <w:t>​</w:t>
      </w:r>
    </w:p>
    <w:tbl>
      <w:tblPr>
        <w:tblW w:w="8979" w:type="dxa"/>
        <w:jc w:val="left"/>
        <w:tblInd w:w="0" w:type="dxa"/>
        <w:tblLayout w:type="fixed"/>
        <w:tblCellMar>
          <w:top w:w="0" w:type="dxa"/>
          <w:left w:w="0" w:type="dxa"/>
          <w:bottom w:w="0" w:type="dxa"/>
          <w:right w:w="0" w:type="dxa"/>
        </w:tblCellMar>
      </w:tblPr>
      <w:tblGrid>
        <w:gridCol w:w="4876"/>
        <w:gridCol w:w="346"/>
        <w:gridCol w:w="247"/>
        <w:gridCol w:w="864"/>
        <w:gridCol w:w="346"/>
        <w:gridCol w:w="211"/>
        <w:gridCol w:w="691"/>
        <w:gridCol w:w="346"/>
        <w:gridCol w:w="211"/>
        <w:gridCol w:w="841"/>
      </w:tblGrid>
      <w:tr>
        <w:trPr/>
        <w:tc>
          <w:tcPr>
            <w:tcW w:w="4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096260" cy="175260"/>
                      <wp:effectExtent l="0" t="0" r="0" b="0"/>
                      <wp:wrapNone/>
                      <wp:docPr id="151" name="Frame151"/>
                      <a:graphic xmlns:a="http://schemas.openxmlformats.org/drawingml/2006/main">
                        <a:graphicData uri="http://schemas.microsoft.com/office/word/2010/wordprocessingShape">
                          <wps:wsp>
                            <wps:cNvSpPr txBox="1"/>
                            <wps:spPr>
                              <a:xfrm>
                                <a:off x="0" y="0"/>
                                <a:ext cx="3096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6845" cy="175260"/>
                      <wp:effectExtent l="0" t="0" r="0" b="0"/>
                      <wp:wrapNone/>
                      <wp:docPr id="153" name="Frame15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48640" cy="175260"/>
                      <wp:effectExtent l="0" t="0" r="0" b="0"/>
                      <wp:wrapNone/>
                      <wp:docPr id="154" name="Frame154"/>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34035" cy="175260"/>
                      <wp:effectExtent l="0" t="0" r="0" b="0"/>
                      <wp:wrapNone/>
                      <wp:docPr id="160" name="Frame16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Foreign </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Cash</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Flow</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8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Translation</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Hedges</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October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(8,234)</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(9,008)</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8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(4,497)</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Reclassifications</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8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48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valuation allowances</w:t>
            </w:r>
          </w:p>
        </w:tc>
        <w:tc>
          <w:tcPr>
            <w:tcW w:w="34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48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July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EQUITY INCENTIVE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2016, we adopted the Hurco Companies, Inc. 2016 Equity Incentive Plan (as amended, the “2016 Equity Plan”), which allows us to grant awards of stock options, stock appreciation rights, restricted stock, stock units and other stock-based awards.  The 2016 Equity Plan replaced the Hurco Companies, Inc. 2008 Equity Incentive Plan (the “2008 Equity Plan”) and is the only active plan under which equity awards may be made by us to our employees and non-employee directors.  No further awards will be made under our 2008 Equity Plan.  The total number of shares of our common stock that may be issued pursuant to awards under the 2016 Equity Plan was initially 856,048, which included 386,048 shares that remained available for future grants under the 2008 Equity Plan as of March 10, 2016, the date our shareholders approved the 2016 Equity Plan.  On March 10, 2022, our shareholders approved the Amended and Restated Hurco Companies, Inc. 2016 Equity Incentive Plan, which, among other items, increased the aggregate number of shares that may be issued under the 2016 Equity Plan by 850,000 shares.  On March 13, 2025, our shareholders approved an amendment to the 2016 Equity Plan, which increased the aggregate number of shares that may be issued thereunder by an additional 850,000 shares.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Compensation Committee of our Board of Directors has the authority to determine the officers, directors, and key employees who will be granted awards under the 2016 Equity Plan; designate the number of shares subject to each award; determine the terms and conditions upon which awards will be granted; and prescribe the form and terms of award agreements. We have granted restricted shares and performance stock units under the 2016 Equity Plan that are currently outstanding. The market value of a share of our common stock, for purposes of the 2016 Equity Plan, is the closing sale price as reported by the Nasdaq Global Select Market on the date in question or, if not a trading day, on the last preceding trading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12, 2026, the Compensation Committee granted a total of 38,024 shares of time-based restricted stock to our non-employee directors. The restricted shares vest in full one year from the date of grant provided the recipient remains on the board of directors through that date. The grant date fair value of the restricted shares was based on the closing sales price of our common stock on the grant date, which was $14.725 per share.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82" w:name="Tc_kmY3sxkyokC5uSQSZilS8Q_8_4"/>
      <w:bookmarkStart w:id="983" w:name="Tc_EtzPbYX990uj2XHxF3phow_8_0"/>
      <w:bookmarkStart w:id="984" w:name="Tc_XWimlBUFA0y6pkAGbY5tCQ_7_0"/>
      <w:bookmarkStart w:id="985" w:name="Tc_9LvbsUfja0efo0yceusU-Q_6_0"/>
      <w:bookmarkStart w:id="986" w:name="Tc_iXfwGRprZU6WEqvSI91soA_5_0"/>
      <w:bookmarkStart w:id="987" w:name="Tc_eBvOTS1z_U-hETNnfS22wQ_4_0"/>
      <w:bookmarkStart w:id="988" w:name="Tc_4g-q3o_KU02erHQSHDgE2w_3_4"/>
      <w:bookmarkStart w:id="989" w:name="Tc_xg1_jstOZ0-xnaMPzB6TYA_3_0"/>
      <w:bookmarkStart w:id="990" w:name="Tc_tEPLQAl3fECBBHTAagb_fw_2_4"/>
      <w:bookmarkStart w:id="991" w:name="Tc_6MLX9OvAakWdkM9rIB3f0Q_2_2"/>
      <w:bookmarkStart w:id="992" w:name="Tc_8-QmfH4dHUmv11GCdsWL7w_1_4"/>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sz w:val="20"/>
        </w:rPr>
        <w:t>On January 6, 2026, the Compensation Committee approved a long-term incentive compensation arrangement for our executive officers in the form of time-based restricted shares and performance stock units (“PSUs”), which will be payable in shares of our common stock if earned and vested. The awards were approximately 45% time-based vesting and approximately 55% performance-based vesting. The three-year performance period for the PSUs is fiscal year 2026 through fiscal year 2028.</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that date, the Compensation Committee granted a total of 66,491 shares of time-based restricted stock to our executive officers.  The restricted shares vest in thirds over three years from the date of grant provided the recipient continues service with the company through that date.  The grant date fair value of the restricted shares was based upon the closing sales price of our common stock on the date of grant, which was $16.29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6, 2026, the Compensation Committee also granted a total target number of 44,327 PSUs to our executive officers designated as “PSU – NI”. These PSUs were weighted as approximately 30% of the overall 2026 executive long-term incentive compensation arrangement and will vest and be paid based upon the achievement of pre-established goals related to our average net income over the three-year period of fiscal years 2026-2028. Participants will have the ability to earn between 50% of the target number of the PSUs – NI for achieving threshold performance and 200% of the target number of the PSUs – NI for achieving maximum performance. The grant date fair value of the PSUs – NI was based on the closing sales price of our common stock on the grant date, which was $16.29 per PSU.</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6, 2026, the Compensation Committee also granted a total target number of 36,940 PSUs to our executive officers designated as “PSU – FCF”. These PSUs were weighted as approximately 25% of the overall 2026 executive long-term incentive compensation arrangement and will vest and be paid based upon the achievement of pre-established goals related to our average free cash flow over the three-year period of fiscal years 2026-2028. Participants will have the ability to earn between 50% of the target number of the PSUs – FCF for achieving threshold performance and 200% of the target number of the PSUs – FCF for achieving maximum performance. The grant date fair value of the PSUs – FCF was based on the closing sales price of our common stock on the grant date, which was $16.29 per PSU.</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November 12, 2025, the Compensation Committee granted a total of 20,260 shares of time-based restricted stock to our non-executive employees. The restricted shares vest in thirds over three years from the date of grant provided the recipient continues service with the company through that date. The grant date fair value of the restricted shares was based upon the closing sales price of our common stock on the date of grant, which was $16.65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reconciliation of our restricted stock and PSU activity and related information for the nine-month period ended July 31, 2026 is as follows:</w:t>
      </w:r>
    </w:p>
    <w:p>
      <w:pPr>
        <w:pStyle w:val="TextBody"/>
        <w:bidi w:val="0"/>
        <w:spacing w:before="0" w:after="240"/>
        <w:ind w:left="0" w:right="0" w:hanging="0"/>
        <w:jc w:val="both"/>
        <w:rPr/>
      </w:pPr>
      <w:r>
        <w:rPr/>
        <w:t>​</w:t>
      </w:r>
    </w:p>
    <w:tbl>
      <w:tblPr>
        <w:tblW w:w="7130" w:type="dxa"/>
        <w:jc w:val="left"/>
        <w:tblInd w:w="0" w:type="dxa"/>
        <w:tblLayout w:type="fixed"/>
        <w:tblCellMar>
          <w:top w:w="0" w:type="dxa"/>
          <w:left w:w="0" w:type="dxa"/>
          <w:bottom w:w="0" w:type="dxa"/>
          <w:right w:w="0" w:type="dxa"/>
        </w:tblCellMar>
      </w:tblPr>
      <w:tblGrid>
        <w:gridCol w:w="2536"/>
        <w:gridCol w:w="346"/>
        <w:gridCol w:w="1621"/>
        <w:gridCol w:w="346"/>
        <w:gridCol w:w="542"/>
        <w:gridCol w:w="1739"/>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10360" cy="175260"/>
                      <wp:effectExtent l="0" t="0" r="0" b="0"/>
                      <wp:wrapNone/>
                      <wp:docPr id="161" name="Frame16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029335" cy="175260"/>
                      <wp:effectExtent l="0" t="0" r="0" b="0"/>
                      <wp:wrapNone/>
                      <wp:docPr id="163" name="Frame16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44170" cy="175260"/>
                      <wp:effectExtent l="0" t="0" r="0" b="0"/>
                      <wp:wrapNone/>
                      <wp:docPr id="165" name="Frame165"/>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104265" cy="175260"/>
                      <wp:effectExtent l="0" t="0" r="0" b="0"/>
                      <wp:wrapNone/>
                      <wp:docPr id="166" name="Frame166"/>
                      <a:graphic xmlns:a="http://schemas.openxmlformats.org/drawingml/2006/main">
                        <a:graphicData uri="http://schemas.microsoft.com/office/word/2010/wordprocessingShape">
                          <wps:wsp>
                            <wps:cNvSpPr txBox="1"/>
                            <wps:spPr>
                              <a:xfrm>
                                <a:off x="0" y="0"/>
                                <a:ext cx="1104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6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 Average Grant</w:t>
            </w:r>
          </w:p>
        </w:tc>
      </w:tr>
      <w:tr>
        <w:trPr/>
        <w:tc>
          <w:tcPr>
            <w:tcW w:w="25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Number of Shares</w:t>
            </w:r>
          </w:p>
        </w:tc>
        <w:tc>
          <w:tcPr>
            <w:tcW w:w="346" w:type="dxa"/>
            <w:tcBorders/>
            <w:vAlign w:val="center"/>
          </w:tcPr>
          <w:p>
            <w:pPr>
              <w:pStyle w:val="TableContents"/>
              <w:bidi w:val="0"/>
              <w:spacing w:before="0" w:after="1"/>
              <w:ind w:left="0" w:right="0" w:hanging="0"/>
              <w:jc w:val="left"/>
              <w:rPr/>
            </w:pPr>
            <w:r>
              <w:rPr/>
              <w:t>  ​ ​ ​</w:t>
            </w:r>
          </w:p>
        </w:tc>
        <w:tc>
          <w:tcPr>
            <w:tcW w:w="22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Date Fair Value</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October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456,496</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21.58</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or units granted</w:t>
            </w:r>
          </w:p>
        </w:tc>
        <w:tc>
          <w:tcPr>
            <w:tcW w:w="34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206,042</w:t>
            </w:r>
          </w:p>
        </w:tc>
        <w:tc>
          <w:tcPr>
            <w:tcW w:w="346"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left"/>
              <w:rPr/>
            </w:pPr>
            <w:r>
              <w:rPr/>
              <w:t>​</w:t>
            </w:r>
          </w:p>
        </w:tc>
        <w:tc>
          <w:tcPr>
            <w:tcW w:w="1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or units vested</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(73,926)</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shd w:fill="CCEEFF" w:val="clear"/>
            <w:vAlign w:val="center"/>
          </w:tcPr>
          <w:p>
            <w:pPr>
              <w:pStyle w:val="TableContents"/>
              <w:bidi w:val="0"/>
              <w:spacing w:before="0" w:after="1"/>
              <w:ind w:left="0" w:right="0" w:hanging="0"/>
              <w:jc w:val="left"/>
              <w:rPr/>
            </w:pPr>
            <w:r>
              <w:rPr/>
              <w:t>​</w:t>
            </w:r>
          </w:p>
        </w:tc>
        <w:tc>
          <w:tcPr>
            <w:tcW w:w="1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or units cancelled</w:t>
            </w:r>
          </w:p>
        </w:tc>
        <w:tc>
          <w:tcPr>
            <w:tcW w:w="346" w:type="dxa"/>
            <w:tcBorders/>
            <w:vAlign w:val="center"/>
          </w:tcPr>
          <w:p>
            <w:pPr>
              <w:pStyle w:val="TableContents"/>
              <w:bidi w:val="0"/>
              <w:spacing w:before="0" w:after="1"/>
              <w:ind w:left="0" w:right="0" w:hanging="0"/>
              <w:jc w:val="left"/>
              <w:rPr/>
            </w:pPr>
            <w:r>
              <w:rPr/>
              <w:t> </w:t>
            </w:r>
          </w:p>
        </w:tc>
        <w:tc>
          <w:tcPr>
            <w:tcW w:w="16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(89,983)</w:t>
            </w:r>
          </w:p>
        </w:tc>
        <w:tc>
          <w:tcPr>
            <w:tcW w:w="346" w:type="dxa"/>
            <w:tcBorders/>
            <w:vAlign w:val="center"/>
          </w:tcPr>
          <w:p>
            <w:pPr>
              <w:pStyle w:val="TableContents"/>
              <w:bidi w:val="0"/>
              <w:spacing w:before="0" w:after="1"/>
              <w:ind w:left="0" w:right="0" w:hanging="0"/>
              <w:jc w:val="left"/>
              <w:rPr/>
            </w:pPr>
            <w:r>
              <w:rPr/>
              <w:t>​</w:t>
            </w:r>
          </w:p>
        </w:tc>
        <w:tc>
          <w:tcPr>
            <w:tcW w:w="542" w:type="dxa"/>
            <w:tcBorders/>
            <w:vAlign w:val="center"/>
          </w:tcPr>
          <w:p>
            <w:pPr>
              <w:pStyle w:val="TableContents"/>
              <w:bidi w:val="0"/>
              <w:spacing w:before="0" w:after="1"/>
              <w:ind w:left="0" w:right="0" w:hanging="0"/>
              <w:jc w:val="left"/>
              <w:rPr/>
            </w:pPr>
            <w:r>
              <w:rPr/>
              <w:t>​</w:t>
            </w:r>
          </w:p>
        </w:tc>
        <w:tc>
          <w:tcPr>
            <w:tcW w:w="1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26.24</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withheld</w:t>
            </w:r>
          </w:p>
        </w:tc>
        <w:tc>
          <w:tcPr>
            <w:tcW w:w="346" w:type="dxa"/>
            <w:tcBorders/>
            <w:shd w:fill="CCEEFF" w:val="clear"/>
            <w:vAlign w:val="center"/>
          </w:tcPr>
          <w:p>
            <w:pPr>
              <w:pStyle w:val="TableContents"/>
              <w:bidi w:val="0"/>
              <w:spacing w:before="0" w:after="1"/>
              <w:ind w:left="0" w:right="0" w:hanging="0"/>
              <w:jc w:val="left"/>
              <w:rPr/>
            </w:pPr>
            <w:r>
              <w:rPr/>
              <w:t> </w:t>
            </w:r>
          </w:p>
        </w:tc>
        <w:tc>
          <w:tcPr>
            <w:tcW w:w="16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(16,516)</w:t>
            </w:r>
          </w:p>
        </w:tc>
        <w:tc>
          <w:tcPr>
            <w:tcW w:w="346" w:type="dxa"/>
            <w:tcBorders/>
            <w:shd w:fill="CCEEFF" w:val="clear"/>
            <w:vAlign w:val="center"/>
          </w:tcPr>
          <w:p>
            <w:pPr>
              <w:pStyle w:val="TableContents"/>
              <w:bidi w:val="0"/>
              <w:spacing w:before="0" w:after="1"/>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July 31, 2026</w:t>
            </w:r>
          </w:p>
        </w:tc>
        <w:tc>
          <w:tcPr>
            <w:tcW w:w="346" w:type="dxa"/>
            <w:tcBorders/>
            <w:vAlign w:val="center"/>
          </w:tcPr>
          <w:p>
            <w:pPr>
              <w:pStyle w:val="TableContents"/>
              <w:bidi w:val="0"/>
              <w:spacing w:before="0" w:after="1"/>
              <w:ind w:left="0" w:right="0" w:hanging="0"/>
              <w:jc w:val="left"/>
              <w:rPr/>
            </w:pPr>
            <w:r>
              <w:rPr/>
              <w:t> </w:t>
            </w:r>
          </w:p>
        </w:tc>
        <w:tc>
          <w:tcPr>
            <w:tcW w:w="16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482,113</w:t>
            </w:r>
          </w:p>
        </w:tc>
        <w:tc>
          <w:tcPr>
            <w:tcW w:w="346" w:type="dxa"/>
            <w:tcBorders/>
            <w:vAlign w:val="center"/>
          </w:tcPr>
          <w:p>
            <w:pPr>
              <w:pStyle w:val="TableContents"/>
              <w:bidi w:val="0"/>
              <w:spacing w:before="0" w:after="1"/>
              <w:ind w:left="0" w:right="0" w:hanging="0"/>
              <w:jc w:val="left"/>
              <w:rPr/>
            </w:pPr>
            <w:r>
              <w:rPr/>
              <w:t>​</w:t>
            </w:r>
          </w:p>
        </w:tc>
        <w:tc>
          <w:tcPr>
            <w:tcW w:w="5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3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18.67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first nine months of each of fiscal years 2026 and 2025, we recorded approximately $1.6 million of stock-based compensation expense related to grants under the 2016 Equity Plan. As of July 31, 2026, there was an estimated $3.0 million of total unrecognized stock-based compensation cost that we expect to recognize by the end of the first quarter of fiscal year 2029.</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93" w:name="Tc_Bb8eXCzdUUe9Eji5kqqnHQ_12_23"/>
      <w:bookmarkStart w:id="994" w:name="Tc_otjO4b935U66L6mhKxA2eQ_12_20"/>
      <w:bookmarkStart w:id="995" w:name="Tc_D2UaIjojc0mvr6A82TvBGA_12_17"/>
      <w:bookmarkStart w:id="996" w:name="Tc_PApXgijmUEGTwrDOSYXZ0g_12_14"/>
      <w:bookmarkStart w:id="997" w:name="Tc_fRlTFKp0N0KrIRn7tiDYQg_12_11"/>
      <w:bookmarkStart w:id="998" w:name="Tc_seNjufmYt0WDKXrfCbdz1A_12_8"/>
      <w:bookmarkStart w:id="999" w:name="Tc_Ko9sEuIPZkGcBxw4O-x2og_12_5"/>
      <w:bookmarkStart w:id="1000" w:name="Tc_LaTEC1onJ0GyBWxnNgzbZg_12_2"/>
      <w:bookmarkStart w:id="1001" w:name="Tc_Cs403HXhNk2iB3BgUaKyTA_12_0"/>
      <w:bookmarkStart w:id="1002" w:name="Tc_s6ivpGNRu0m0zHLD3G0Ojg_10_24"/>
      <w:bookmarkStart w:id="1003" w:name="Tc_1pVHO52Uak2MPLGyypKctA_10_21"/>
      <w:bookmarkStart w:id="1004" w:name="Tc_662arFSCEkqT6p--5lm-pA_10_18"/>
      <w:bookmarkStart w:id="1005" w:name="Tc_dPyjhmJmEU6btzSg174Ztg_10_15"/>
      <w:bookmarkStart w:id="1006" w:name="Tc_dDaiJnT6b0OdOt0IM3AScw_10_12"/>
      <w:bookmarkStart w:id="1007" w:name="Tc_8m9Mh1mbK0yo74Th69uxSg_10_9"/>
      <w:bookmarkStart w:id="1008" w:name="Tc_SdbDTTgtiEOt9Lbff_Hmtg_10_3"/>
      <w:bookmarkStart w:id="1009" w:name="Tc_uZ7M_NwTkEOTe-i1LJegRA_10_0"/>
      <w:bookmarkStart w:id="1010" w:name="Tc_Y--pXTnYuEOBe9AXpdYHqw_9_0"/>
      <w:bookmarkStart w:id="1011" w:name="Tc_CLvptmSXjkCwi679SlRR4g_7_23"/>
      <w:bookmarkStart w:id="1012" w:name="Tc_VwGTzTN2T0KM55I1MqpEHg_7_20"/>
      <w:bookmarkStart w:id="1013" w:name="Tc_TJde4medNEaWn4wu4LfMPg_7_17"/>
      <w:bookmarkStart w:id="1014" w:name="Tc_EVdhK8dqfEKow-pgk1eLGQ_7_14"/>
      <w:bookmarkStart w:id="1015" w:name="Tc_VNM_5UorUUKJJ5zadsAExA_7_11"/>
      <w:bookmarkStart w:id="1016" w:name="Tc_d-esVQVfQk6QZ9ihhtRFIg_7_8"/>
      <w:bookmarkStart w:id="1017" w:name="Tc_9HmBdyKrIkKoriH7d8Fr6Q_7_5"/>
      <w:bookmarkStart w:id="1018" w:name="Tc_SU5f7aQ5Rkyu9VUEnY6Nqw_7_2"/>
      <w:bookmarkStart w:id="1019" w:name="Tc_W_J9gsc550q2af0mlcC3vg_7_0"/>
      <w:bookmarkStart w:id="1020" w:name="Tc_NBgb0jqqTEa8RSP54qQeVA_6_24"/>
      <w:bookmarkStart w:id="1021" w:name="Tc_pxIQh0Qekke_PhVTovXwuw_6_21"/>
      <w:bookmarkStart w:id="1022" w:name="Tc_G6zuY2whLkywHLCAje-7Zg_6_18"/>
      <w:bookmarkStart w:id="1023" w:name="Tc_Dn4k4P07zUmK0g_K1qc8zA_6_15"/>
      <w:bookmarkStart w:id="1024" w:name="Tc_bKdx2HhI-EyJ-dS_46dAqA_6_12"/>
      <w:bookmarkStart w:id="1025" w:name="Tc_M7YW-q8vaEeCRQuGGc1hfA_6_9"/>
      <w:bookmarkStart w:id="1026" w:name="Tc_OEwIcyLyl022_AEy0peqcw_6_0"/>
      <w:bookmarkStart w:id="1027" w:name="Tc_tFKq2HJso0iCS-8CSdO9_Q_5_23"/>
      <w:bookmarkStart w:id="1028" w:name="Tc_PGKFtwmockW2wVerpO_bbg_5_20"/>
      <w:bookmarkStart w:id="1029" w:name="Tc_FQNnZbmDWkauMTPnCV87Qg_5_17"/>
      <w:bookmarkStart w:id="1030" w:name="Tc_omeHS_MiuEOgSpEETGDEJw_5_14"/>
      <w:bookmarkStart w:id="1031" w:name="Tc_ktiL0mUEKkaQp0TOpnNRnQ_5_11"/>
      <w:bookmarkStart w:id="1032" w:name="Tc_OSDvyKc_c0al6ZCOuwuABQ_5_8"/>
      <w:bookmarkStart w:id="1033" w:name="Tc_PmHAhIuo-0Cg2diDVcNszg_5_5"/>
      <w:bookmarkStart w:id="1034" w:name="Tc_LMaJ7snRg0GhTup6AXhL8A_5_2"/>
      <w:bookmarkStart w:id="1035" w:name="Tc_5VRkWn9ju0qLwUCFEJ110Q_5_0"/>
      <w:bookmarkStart w:id="1036" w:name="Tc_dFvEHite-kaaKY7Hn-iNUA_4_23"/>
      <w:bookmarkStart w:id="1037" w:name="Tc_OpJAdVKSdki03KFxaBBs-A_4_20"/>
      <w:bookmarkStart w:id="1038" w:name="Tc_lPIo8fpJFUqCp4IjgwCVuw_4_17"/>
      <w:bookmarkStart w:id="1039" w:name="Tc_D08wwKWxI0O-agjih_V1zA_4_14"/>
      <w:bookmarkStart w:id="1040" w:name="Tc_lP3SkuzwNE-DLPxJbr2i6g_4_11"/>
      <w:bookmarkStart w:id="1041" w:name="Tc_BrD2uYGWJEe6fvg3Cc2Lmg_4_8"/>
      <w:bookmarkStart w:id="1042" w:name="Tc_AIqcvb9WlEix0FzRIzmBvA_4_5"/>
      <w:bookmarkStart w:id="1043" w:name="Tc_wpJl0Sc9kEyfUtJnJ7JTJA_4_2"/>
      <w:bookmarkStart w:id="1044" w:name="Tc_5XBDGTQsJkClxS1-CcuYog_3_20"/>
      <w:bookmarkStart w:id="1045" w:name="Tc_DWr7p7bHw0CkZ4ksYW7RWA_3_14"/>
      <w:bookmarkStart w:id="1046" w:name="Tc_NzkK1d5r5Um_iyjL0SQXiA_3_8"/>
      <w:bookmarkStart w:id="1047" w:name="Tc_c-s_d9a-tUKBvROdGbEmUQ_3_2"/>
      <w:bookmarkStart w:id="1048" w:name="Tc_Au-LpIel30-Sxyjki35FEQ_2_14"/>
      <w:bookmarkStart w:id="1049" w:name="Tc_fcvHAhqgrkCHMmIJYq9RWg_2_2"/>
      <w:bookmarkStart w:id="1050" w:name="Tc_X1VPBC6XsEK4yxn7JXMW7w_1_14"/>
      <w:bookmarkStart w:id="1051" w:name="Tc_5Pac8Ur42kGqf4eSphtBXw_1_2"/>
      <w:bookmarkStart w:id="1052" w:name="EarningLossPerShare"/>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sz w:val="20"/>
        </w:rPr>
        <w:t>5.    EARNINGS (LOSS)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Per share results have been computed based on the average number of common shares outstanding over the period in question.  The computation of basic and diluted net income (loss) per share is determined using net income (loss) applicable to common shareholders as the numerator and the weighted average number of shares outstanding as the denominator as follows (in thousands, except per share amounts):</w:t>
      </w:r>
    </w:p>
    <w:p>
      <w:pPr>
        <w:pStyle w:val="TextBody"/>
        <w:bidi w:val="0"/>
        <w:spacing w:before="0" w:after="240"/>
        <w:ind w:left="0" w:right="0" w:hanging="0"/>
        <w:jc w:val="both"/>
        <w:rPr/>
      </w:pPr>
      <w:r>
        <w:rPr/>
        <w:t>​</w:t>
      </w:r>
    </w:p>
    <w:tbl>
      <w:tblPr>
        <w:tblW w:w="10885" w:type="dxa"/>
        <w:jc w:val="left"/>
        <w:tblInd w:w="0" w:type="dxa"/>
        <w:tblLayout w:type="fixed"/>
        <w:tblCellMar>
          <w:top w:w="0" w:type="dxa"/>
          <w:left w:w="0" w:type="dxa"/>
          <w:bottom w:w="0" w:type="dxa"/>
          <w:right w:w="0" w:type="dxa"/>
        </w:tblCellMar>
      </w:tblPr>
      <w:tblGrid>
        <w:gridCol w:w="1246"/>
        <w:gridCol w:w="346"/>
        <w:gridCol w:w="211"/>
        <w:gridCol w:w="571"/>
        <w:gridCol w:w="346"/>
        <w:gridCol w:w="211"/>
        <w:gridCol w:w="571"/>
        <w:gridCol w:w="346"/>
        <w:gridCol w:w="211"/>
        <w:gridCol w:w="631"/>
        <w:gridCol w:w="346"/>
        <w:gridCol w:w="211"/>
        <w:gridCol w:w="631"/>
        <w:gridCol w:w="346"/>
        <w:gridCol w:w="211"/>
        <w:gridCol w:w="631"/>
        <w:gridCol w:w="346"/>
        <w:gridCol w:w="211"/>
        <w:gridCol w:w="631"/>
        <w:gridCol w:w="346"/>
        <w:gridCol w:w="211"/>
        <w:gridCol w:w="736"/>
        <w:gridCol w:w="346"/>
        <w:gridCol w:w="211"/>
        <w:gridCol w:w="78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91210" cy="175260"/>
                      <wp:effectExtent l="0" t="0" r="0" b="0"/>
                      <wp:wrapNone/>
                      <wp:docPr id="167" name="Frame167"/>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70" name="Frame1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00685" cy="175260"/>
                      <wp:effectExtent l="0" t="0" r="0" b="0"/>
                      <wp:wrapNone/>
                      <wp:docPr id="176" name="Frame1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0685" cy="175260"/>
                      <wp:effectExtent l="0" t="0" r="0" b="0"/>
                      <wp:wrapNone/>
                      <wp:docPr id="179" name="Frame17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1" name="Frame1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00685" cy="175260"/>
                      <wp:effectExtent l="0" t="0" r="0" b="0"/>
                      <wp:wrapNone/>
                      <wp:docPr id="182" name="Frame18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00685" cy="175260"/>
                      <wp:effectExtent l="0" t="0" r="0" b="0"/>
                      <wp:wrapNone/>
                      <wp:docPr id="185" name="Frame18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67360" cy="175260"/>
                      <wp:effectExtent l="0" t="0" r="0" b="0"/>
                      <wp:wrapNone/>
                      <wp:docPr id="188" name="Frame18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86"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466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8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1"/>
              <w:ind w:left="0" w:right="0" w:hanging="0"/>
              <w:jc w:val="left"/>
              <w:rPr/>
            </w:pPr>
            <w:r>
              <w:rPr/>
              <w:t>​</w:t>
            </w:r>
          </w:p>
        </w:tc>
        <w:tc>
          <w:tcPr>
            <w:tcW w:w="466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w:t>
            </w:r>
          </w:p>
        </w:tc>
      </w:tr>
      <w:tr>
        <w:trPr/>
        <w:tc>
          <w:tcPr>
            <w:tcW w:w="12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rPr/>
            </w:pPr>
            <w:r>
              <w:rPr/>
              <w:t>​</w:t>
            </w:r>
          </w:p>
        </w:tc>
        <w:tc>
          <w:tcPr>
            <w:tcW w:w="22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Diluted</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Undistributed earnings allocated to participating shares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applicable to common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(12,076)</w: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Contingently issuable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2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6,474</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(loss)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July 31, 2025 and nine months ended July 31, 2026 and July 31, 2025, there were an immaterial number of contingently issuable securities that were excluded from the diluted loss per share calculation because they were anti-dilutive due to the net loss in those periods.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6.    ACCOUNTS RECEIVABLE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is net of provision for credit losses of $1.2 million as of each of July 31, 2026, and October 31,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53" w:name="Tc_NVLNhMxpJkSZVK-l2kHcJw_6_5"/>
      <w:bookmarkStart w:id="1054" w:name="Tc_cqoKOOlob0iTitCPJSxYbA_6_2"/>
      <w:bookmarkStart w:id="1055" w:name="Tc_e0nKW8bRZkW_Jj6dJRlS9A_6_0"/>
      <w:bookmarkStart w:id="1056" w:name="Tc_g_M8WXgzIkytcOnRAz4nUQ_5_0"/>
      <w:bookmarkStart w:id="1057" w:name="Tc_4E5UnNqbq0W5BOCDBOTdyg_4_0"/>
      <w:bookmarkStart w:id="1058" w:name="Tc_v9WfklLSnkePkuAF1G-_mw_3_5"/>
      <w:bookmarkStart w:id="1059" w:name="Tc_RjFdv-JD8E6qXP7GR5NYew_3_2"/>
      <w:bookmarkStart w:id="1060" w:name="Tc_dqUzUzbpLkS1h_iUnMwXiA_3_0"/>
      <w:bookmarkStart w:id="1061" w:name="Tc_Ls7dj5P-9kCPNuO038oIHg_2_5"/>
      <w:bookmarkStart w:id="1062" w:name="Tc_BJv7ckRGSUeAmVpgCzT_Bg_2_2"/>
      <w:bookmarkStart w:id="1063" w:name="Tc_cTTyMVOkJUy5Cy_gP_sYpA_1_5"/>
      <w:bookmarkStart w:id="1064" w:name="Tc_ob45UexLOU2tJveIBLMp2w_1_2"/>
      <w:bookmarkStart w:id="1065" w:name="_47791e80_0cf0_45e5_af92_6bebd0fe70c4"/>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sz w:val="20"/>
        </w:rPr>
        <w:t>7.    INVENTORIES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priced at the lower of cost (first-in, first-out method) or net realizable value, are summarized below (in thousands):</w:t>
      </w:r>
    </w:p>
    <w:p>
      <w:pPr>
        <w:pStyle w:val="TextBody"/>
        <w:bidi w:val="0"/>
        <w:spacing w:before="0" w:after="240"/>
        <w:ind w:left="0" w:right="0" w:hanging="0"/>
        <w:jc w:val="both"/>
        <w:rPr/>
      </w:pPr>
      <w:r>
        <w:rPr/>
        <w:t>​</w:t>
      </w:r>
    </w:p>
    <w:tbl>
      <w:tblPr>
        <w:tblW w:w="5900" w:type="dxa"/>
        <w:jc w:val="left"/>
        <w:tblInd w:w="0" w:type="dxa"/>
        <w:tblLayout w:type="fixed"/>
        <w:tblCellMar>
          <w:top w:w="0" w:type="dxa"/>
          <w:left w:w="0" w:type="dxa"/>
          <w:bottom w:w="0" w:type="dxa"/>
          <w:right w:w="0" w:type="dxa"/>
        </w:tblCellMar>
      </w:tblPr>
      <w:tblGrid>
        <w:gridCol w:w="3031"/>
        <w:gridCol w:w="346"/>
        <w:gridCol w:w="211"/>
        <w:gridCol w:w="781"/>
        <w:gridCol w:w="346"/>
        <w:gridCol w:w="228"/>
        <w:gridCol w:w="957"/>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924685" cy="175260"/>
                      <wp:effectExtent l="0" t="0" r="0" b="0"/>
                      <wp:wrapNone/>
                      <wp:docPr id="192" name="Frame19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95935" cy="175260"/>
                      <wp:effectExtent l="0" t="0" r="0" b="0"/>
                      <wp:wrapNone/>
                      <wp:docPr id="195"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4780" cy="175260"/>
                      <wp:effectExtent l="0" t="0" r="0" b="0"/>
                      <wp:wrapNone/>
                      <wp:docPr id="197" name="Frame19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7695" cy="175260"/>
                      <wp:effectExtent l="0" t="0" r="0" b="0"/>
                      <wp:wrapNone/>
                      <wp:docPr id="198" name="Frame198"/>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31, </w:t>
            </w:r>
          </w:p>
        </w:tc>
      </w:tr>
      <w:tr>
        <w:trPr/>
        <w:tc>
          <w:tcPr>
            <w:tcW w:w="30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parts and sub–assemblies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36,209</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35,346</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10,598</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11,172</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89,809</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96,413</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136,616</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142,931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1066" w:name="Tc_Kk7JjlgSCU6fZEGai9eHyw_9_2"/>
      <w:bookmarkStart w:id="1067" w:name="Tc_E1dgc_3oHkGJfO6m9YooMQ_9_0"/>
      <w:bookmarkStart w:id="1068" w:name="Tc_AYVoBjpLw0qCH_pRKqfTQg_8_0"/>
      <w:bookmarkStart w:id="1069" w:name="Tc_hmZ0kQKkRkeweIM_lFmTIw_7_0"/>
      <w:bookmarkStart w:id="1070" w:name="Tc_NHcmalq2pEWhDnYGCxITog_6_0"/>
      <w:bookmarkStart w:id="1071" w:name="Tc_QweQMJspRUyTPybWoGly2A_5_0"/>
      <w:bookmarkStart w:id="1072" w:name="Tc_LCyviVyf-0G-j_fvH6VBbQ_4_0"/>
      <w:bookmarkStart w:id="1073" w:name="Tc_keyyeAXBfk-lOzHEE7moNQ_3_0"/>
      <w:bookmarkStart w:id="1074" w:name="Tc_bHm0Li_1IEal2OSB9G_5RA_2_0"/>
      <w:bookmarkStart w:id="1075" w:name="Tc_eBHTNUw4skKZFoV6F65LZw_1_2"/>
      <w:bookmarkStart w:id="1076" w:name="Tc_uxCt5lhEgkOZO7o1mg4FUg_1_0"/>
      <w:bookmarkStart w:id="1077" w:name="_5a489a3a_71c0_494e_bd74_ac9e2eeda071"/>
      <w:bookmarkStart w:id="1078" w:name="Tc_nXMzlX-W1UqUWOe0ikrm5g_6_11"/>
      <w:bookmarkStart w:id="1079" w:name="Tc_dvqnEr93fUqtfLSYBHuhAw_6_8"/>
      <w:bookmarkStart w:id="1080" w:name="Tc_CYOS8UIdIESrAheAqInJZA_6_5"/>
      <w:bookmarkStart w:id="1081" w:name="Tc_y37l8K7kMkKoVXZG03EIcw_6_2"/>
      <w:bookmarkStart w:id="1082" w:name="Tc_DYVXiSc7OkOGhT3hHA474w_6_0"/>
      <w:bookmarkStart w:id="1083" w:name="Tc_k6S6uBtV-U2iit4zgrGpqw_5_0"/>
      <w:bookmarkStart w:id="1084" w:name="Tc_kiv7Z-xKt06zkDP71bFX3A_4_11"/>
      <w:bookmarkStart w:id="1085" w:name="Tc_KlVY9a9szE2fzHTNS46jLg_4_8"/>
      <w:bookmarkStart w:id="1086" w:name="Tc_8qn9pYIlwEG7w6RgQe0MdA_4_5"/>
      <w:bookmarkStart w:id="1087" w:name="Tc_DPDZCePhckezsSZE1HykyA_4_2"/>
      <w:bookmarkStart w:id="1088" w:name="Tc_FrJoSTlj3ESgHpBvietcWA_4_0"/>
      <w:bookmarkStart w:id="1089" w:name="Tc_3UirYRUXBUmErvOCC3SRHw_3_0"/>
      <w:bookmarkStart w:id="1090" w:name="Tc_HGjVKsBJw0mMtqtGh0Z9kw_2_12"/>
      <w:bookmarkStart w:id="1091" w:name="Tc_-l0r28wAcEOgr1GjY9_3lQ_2_9"/>
      <w:bookmarkStart w:id="1092" w:name="Tc_XjaUYABSsUqZUllavkSLjw_2_6"/>
      <w:bookmarkStart w:id="1093" w:name="Tc_DCLnS0yHTkCOwq_isTsDAg_2_3"/>
      <w:bookmarkStart w:id="1094" w:name="Tc_m2IgxoxRWESMbO55T5EPpQ_1_9"/>
      <w:bookmarkStart w:id="1095" w:name="Tc_eX0X5dTjmEeEtY-7BimC4A_1_3"/>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sz w:val="20"/>
        </w:rPr>
        <w:t>8.    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lease portfolio includes leased production and assembly facilities, warehouses and distribution centers, office space, vehicles, material handling equipment utilized in our production and assembly facilities, laptops and other information technology equipment, as well as other miscellaneous leased equipment. Most of the leased production and assembly facilities have lease terms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although the terms and conditions of our leases can vary significantly from lease to lease. We have assessed the specific terms and conditions of each lease to determine the amount of the lease payments and the length of the lease term, which includes the minimum period over which lease payments are required plus any renewal options that are both within our control to exercise and reasonably certain of being exercised upon lease commencement. In determining whether or not a renewal option is reasonably certain of being exercised, we assessed all relevant factors to determine if sufficient incentives exist as of lease commencement to conclude renewal is reasonably certain. There are no material residual value guarantees provided by us, nor any restrictions or covenants imposed by the leases to which we are a party. In determining the lease liability, we utilize our incremental borrowing rate to discount the future lease payments over the lease term to present value.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record a right-of-use asset and lease liability on our Condensed Consolidated Balance Sheets for all leases that, at the commencement date, have a lease term of more than 12 months and are classified as leases under ASC 842.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recorded total operating lease expense of $1.2 million and $1.3 million for the three months ended July 31, 2026 and 2025, respectively, and $3.8 million and $4.0 million for the nine months ended July 31, 2026 and 2025, respectively, which is classified within Cost of sales and service and Selling, general and administrative expenses within the Condensed Consolidated Statements of Operations.  Operating lease expense includes short-term leases and variable lease payments, which are immaterial.  There were no lease costs capitalized on the Condensed Consolidated Balance Sheets as of July 31, 2026.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supplemental cash flow information and non-cash activity related to operating leases for the three and nine months ended July 31, 2026 and 2025 (in thousands):</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623"/>
        <w:gridCol w:w="346"/>
        <w:gridCol w:w="211"/>
        <w:gridCol w:w="777"/>
        <w:gridCol w:w="471"/>
        <w:gridCol w:w="286"/>
        <w:gridCol w:w="777"/>
        <w:gridCol w:w="109"/>
        <w:gridCol w:w="211"/>
        <w:gridCol w:w="751"/>
        <w:gridCol w:w="455"/>
        <w:gridCol w:w="277"/>
        <w:gridCol w:w="751"/>
        <w:gridCol w:w="160"/>
      </w:tblGrid>
      <w:tr>
        <w:trPr/>
        <w:tc>
          <w:tcPr>
            <w:tcW w:w="4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4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01600" cy="175260"/>
                      <wp:effectExtent l="0" t="0" r="0" b="0"/>
                      <wp:wrapNone/>
                      <wp:docPr id="200" name="Frame200"/>
                      <a:graphic xmlns:a="http://schemas.openxmlformats.org/drawingml/2006/main">
                        <a:graphicData uri="http://schemas.microsoft.com/office/word/2010/wordprocessingShape">
                          <wps:wsp>
                            <wps:cNvSpPr txBox="1"/>
                            <wps:spPr>
                              <a:xfrm>
                                <a:off x="0" y="0"/>
                                <a:ext cx="101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311" w:type="dxa"/>
            <w:gridSpan w:val="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 July 31,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2234" w:type="dxa"/>
            <w:gridSpan w:val="4"/>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July 31, </w:t>
            </w:r>
          </w:p>
        </w:tc>
        <w:tc>
          <w:tcPr>
            <w:tcW w:w="160" w:type="dxa"/>
            <w:tcBorders/>
            <w:vAlign w:val="center"/>
          </w:tcPr>
          <w:p>
            <w:pPr>
              <w:pStyle w:val="TableContents"/>
              <w:bidi w:val="0"/>
              <w:spacing w:before="0" w:after="1"/>
              <w:ind w:left="0" w:right="0" w:hanging="0"/>
              <w:jc w:val="left"/>
              <w:rPr/>
            </w:pPr>
            <w:r>
              <w:rPr/>
              <w:t>​</w:t>
            </w:r>
          </w:p>
        </w:tc>
      </w:tr>
      <w:tr>
        <w:trPr/>
        <w:tc>
          <w:tcPr>
            <w:tcW w:w="462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71" w:type="dxa"/>
            <w:tcBorders/>
            <w:vAlign w:val="center"/>
          </w:tcPr>
          <w:p>
            <w:pPr>
              <w:pStyle w:val="TableContents"/>
              <w:bidi w:val="0"/>
              <w:spacing w:before="0" w:after="1"/>
              <w:ind w:left="0" w:right="0" w:hanging="0"/>
              <w:jc w:val="left"/>
              <w:rPr/>
            </w:pPr>
            <w:r>
              <w:rPr/>
              <w:t>  ​ ​ ​</w:t>
            </w:r>
          </w:p>
        </w:tc>
        <w:tc>
          <w:tcPr>
            <w:tcW w:w="28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5" w:type="dxa"/>
            <w:tcBorders/>
            <w:vAlign w:val="center"/>
          </w:tcPr>
          <w:p>
            <w:pPr>
              <w:pStyle w:val="TableContents"/>
              <w:bidi w:val="0"/>
              <w:spacing w:before="0" w:after="1"/>
              <w:ind w:left="0" w:right="0" w:hanging="0"/>
              <w:jc w:val="left"/>
              <w:rPr/>
            </w:pPr>
            <w:r>
              <w:rPr/>
              <w:t>  ​ ​ ​</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60" w:type="dxa"/>
            <w:tcBorders/>
            <w:vAlign w:val="center"/>
          </w:tcPr>
          <w:p>
            <w:pPr>
              <w:pStyle w:val="TableContents"/>
              <w:bidi w:val="0"/>
              <w:spacing w:before="0" w:after="1"/>
              <w:ind w:left="0" w:right="0" w:hanging="0"/>
              <w:jc w:val="left"/>
              <w:rPr/>
            </w:pPr>
            <w:r>
              <w:rPr/>
              <w:t>​</w:t>
            </w:r>
          </w:p>
        </w:tc>
      </w:tr>
      <w:tr>
        <w:trPr/>
        <w:tc>
          <w:tcPr>
            <w:tcW w:w="4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r>
      <w:tr>
        <w:trPr/>
        <w:tc>
          <w:tcPr>
            <w:tcW w:w="4623" w:type="dxa"/>
            <w:tcBorders/>
            <w:vAlign w:val="center"/>
          </w:tcPr>
          <w:p>
            <w:pPr>
              <w:pStyle w:val="TableContents"/>
              <w:bidi w:val="0"/>
              <w:spacing w:before="0" w:after="1"/>
              <w:ind w:left="0" w:right="0" w:hanging="0"/>
              <w:jc w:val="left"/>
              <w:rPr/>
            </w:pPr>
            <w:r>
              <w:rPr/>
              <w:t>  ​ ​ ​</w:t>
            </w:r>
            <w:r>
              <w:rPr>
                <w:rFonts w:ascii="Times New Roman;Times;serif" w:hAnsi="Times New Roman;Times;serif"/>
                <w:sz w:val="20"/>
              </w:rPr>
              <w:t>Cash paid for amounts included in the measurement of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c>
          <w:tcPr>
            <w:tcW w:w="4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3,693</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w:t>
            </w:r>
          </w:p>
        </w:tc>
        <w:tc>
          <w:tcPr>
            <w:tcW w:w="160" w:type="dxa"/>
            <w:tcBorders/>
            <w:vAlign w:val="center"/>
          </w:tcPr>
          <w:p>
            <w:pPr>
              <w:pStyle w:val="TableContents"/>
              <w:bidi w:val="0"/>
              <w:spacing w:before="0" w:after="1"/>
              <w:ind w:left="0" w:right="0" w:hanging="0"/>
              <w:jc w:val="left"/>
              <w:rPr/>
            </w:pPr>
            <w:r>
              <w:rPr/>
              <w:t>​</w:t>
            </w:r>
          </w:p>
        </w:tc>
      </w:tr>
      <w:tr>
        <w:trPr/>
        <w:tc>
          <w:tcPr>
            <w:tcW w:w="46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47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455"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160" w:type="dxa"/>
            <w:tcBorders/>
            <w:shd w:fill="CCEEFF" w:val="clear"/>
            <w:vAlign w:val="center"/>
          </w:tcPr>
          <w:p>
            <w:pPr>
              <w:pStyle w:val="TableContents"/>
              <w:bidi w:val="0"/>
              <w:spacing w:before="0" w:after="1"/>
              <w:ind w:left="0" w:right="0" w:hanging="0"/>
              <w:jc w:val="left"/>
              <w:rPr/>
            </w:pPr>
            <w:r>
              <w:rPr/>
              <w:t>​</w:t>
            </w:r>
          </w:p>
        </w:tc>
      </w:tr>
      <w:tr>
        <w:trPr/>
        <w:tc>
          <w:tcPr>
            <w:tcW w:w="4623" w:type="dxa"/>
            <w:tcBorders/>
            <w:vAlign w:val="center"/>
          </w:tcPr>
          <w:p>
            <w:pPr>
              <w:pStyle w:val="TableContents"/>
              <w:bidi w:val="0"/>
              <w:spacing w:before="0" w:after="1"/>
              <w:ind w:left="0" w:right="0" w:hanging="0"/>
              <w:jc w:val="left"/>
              <w:rPr/>
            </w:pPr>
            <w:r>
              <w:rPr/>
              <w:t>  ​ ​ ​</w:t>
            </w:r>
            <w:r>
              <w:rPr>
                <w:rFonts w:ascii="Times New Roman;Times;serif" w:hAnsi="Times New Roman;Times;serif"/>
                <w:sz w:val="20"/>
              </w:rPr>
              <w:t>Right-of-use assets obtained in exchange for new operating lease liabilities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47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1,814</w:t>
            </w:r>
          </w:p>
        </w:tc>
        <w:tc>
          <w:tcPr>
            <w:tcW w:w="455"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3,903</w:t>
            </w:r>
          </w:p>
        </w:tc>
        <w:tc>
          <w:tcPr>
            <w:tcW w:w="160"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maturities of undiscounted cash flows of lease commitments reconciled to the total lease liability as of July 31, 2026 (in thousands):</w:t>
      </w:r>
    </w:p>
    <w:p>
      <w:pPr>
        <w:pStyle w:val="TextBody"/>
        <w:bidi w:val="0"/>
        <w:spacing w:before="0" w:after="240"/>
        <w:ind w:left="0" w:right="0" w:hanging="0"/>
        <w:jc w:val="both"/>
        <w:rPr/>
      </w:pPr>
      <w:r>
        <w:rPr/>
        <w:t>​</w:t>
      </w:r>
    </w:p>
    <w:tbl>
      <w:tblPr>
        <w:tblW w:w="4789" w:type="dxa"/>
        <w:jc w:val="left"/>
        <w:tblInd w:w="0" w:type="dxa"/>
        <w:tblLayout w:type="fixed"/>
        <w:tblCellMar>
          <w:top w:w="0" w:type="dxa"/>
          <w:left w:w="0" w:type="dxa"/>
          <w:bottom w:w="0" w:type="dxa"/>
          <w:right w:w="0" w:type="dxa"/>
        </w:tblCellMar>
      </w:tblPr>
      <w:tblGrid>
        <w:gridCol w:w="3511"/>
        <w:gridCol w:w="346"/>
        <w:gridCol w:w="211"/>
        <w:gridCol w:w="72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29485" cy="175260"/>
                      <wp:effectExtent l="0" t="0" r="0" b="0"/>
                      <wp:wrapNone/>
                      <wp:docPr id="201" name="Frame201"/>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57835" cy="175260"/>
                      <wp:effectExtent l="0" t="0" r="0" b="0"/>
                      <wp:wrapNone/>
                      <wp:docPr id="204" name="Frame2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4,166</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3,057</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10,399</w:t>
            </w:r>
          </w:p>
        </w:tc>
      </w:tr>
      <w:tr>
        <w:trPr/>
        <w:tc>
          <w:tcPr>
            <w:tcW w:w="35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w:t>
            </w:r>
          </w:p>
        </w:tc>
      </w:tr>
      <w:tr>
        <w:trPr/>
        <w:tc>
          <w:tcPr>
            <w:tcW w:w="35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9,840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the weighted-average remaining term of our lease portfolio was approximately 3.0 years and the weighted-average discount rate was approximately 3.5%.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096" w:name="Tc_UEL9pyXLQE-3S-RRdrZcPA_7_11"/>
      <w:bookmarkStart w:id="1097" w:name="Tc_v0J0RKwGHkaR2-4R9TkWig_7_8"/>
      <w:bookmarkStart w:id="1098" w:name="Tc_Wq2dtedBxkWpsCFDe08DRQ_7_5"/>
      <w:bookmarkStart w:id="1099" w:name="Tc_DdNBzy8IhU2_jLAyewztvQ_7_2"/>
      <w:bookmarkStart w:id="1100" w:name="Tc_BHDBitNZeU2Z6Tn3T3raRg_7_0"/>
      <w:bookmarkStart w:id="1101" w:name="Tc_ymNs6BwUM0WUIxBY6jwhPQ_6_0"/>
      <w:bookmarkStart w:id="1102" w:name="Tc_0BnORn0pYkiygUzF17qMKQ_5_0"/>
      <w:bookmarkStart w:id="1103" w:name="Tc_XN5JFnlh0kO4Hg3Hb9HGSw_4_0"/>
      <w:bookmarkStart w:id="1104" w:name="Tc_8IxEOssSCkSD38aWj85NyA_3_11"/>
      <w:bookmarkStart w:id="1105" w:name="Tc_Od5PD7jHIUGtaDjJw6zi6A_3_8"/>
      <w:bookmarkStart w:id="1106" w:name="Tc_NxhOds1B90GQPhdtRFOYKA_3_5"/>
      <w:bookmarkStart w:id="1107" w:name="Tc_bSTPKeHEXUCj-mWpzQW4SQ_3_2"/>
      <w:bookmarkStart w:id="1108" w:name="Tc_g0krPYieV0CKyCdU5uzbiA_3_0"/>
      <w:bookmarkStart w:id="1109" w:name="Tc_TKMr2_z7Eky2FXxMLAYM6A_2_11"/>
      <w:bookmarkStart w:id="1110" w:name="Tc_Ejz4mq1bQk-TxhxnnqL81g_2_8"/>
      <w:bookmarkStart w:id="1111" w:name="Tc_2UrZLfJcn0q-vRGpZVAgkw_2_5"/>
      <w:bookmarkStart w:id="1112" w:name="Tc_SDK0G61t_UCWIvaSvxN2dw_2_2"/>
      <w:bookmarkStart w:id="1113" w:name="Tc_a_kTUvXGdkOKcOygSzb8FA_1_8"/>
      <w:bookmarkStart w:id="1114" w:name="Tc_VkJRrFobhk24b6uQv5MJhg_1_2"/>
      <w:bookmarkStart w:id="1115" w:name="_196fb9e0_8928_42a2_b0da_94afc8035be0"/>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r>
        <w:rPr>
          <w:rFonts w:ascii="Times New Roman;Times;serif" w:hAnsi="Times New Roman;Times;serif"/>
          <w:sz w:val="20"/>
        </w:rPr>
        <w:t>9.    SEGMENT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organized and managed 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industrial automation equipment. We design, manufacture, and sell computerized (i.e., Computer Numeric Control)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training, and applications support.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chief operating decision maker ("CODM") is the President and Chief Executive Officer, who reviews financial information presented on a consolidated basis. The CODM uses consolidated sales and service fees, gross profit, operating (loss) income and net (loss) income, as shown on the Consolidated Statements of Operations, to assess financial performance and allocate resources. The consolidated financial metrics are used by the CODM to make key operating decisions, such as the allocation of capital between reinvestment in the business, the payment of dividends, and acquisitions. While the CODM receives some additional detailed financial information related to operating expenses, consolidated selling, general and administrative expenses is the significant expense he uses to manage operations. The measure of segment assets is reported on the condensed consolidated balance sheets as total consolidated assets.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sales and service fees by product group and services for the three and nine months ended July 31, 2026 and 2025 (in thousands):</w:t>
      </w:r>
    </w:p>
    <w:p>
      <w:pPr>
        <w:pStyle w:val="TextBody"/>
        <w:bidi w:val="0"/>
        <w:spacing w:before="0" w:after="0"/>
        <w:ind w:left="0" w:right="0" w:hanging="0"/>
        <w:jc w:val="both"/>
        <w:rPr/>
      </w:pPr>
      <w:r>
        <w:rPr/>
        <w:t>​</w:t>
      </w:r>
    </w:p>
    <w:tbl>
      <w:tblPr>
        <w:tblW w:w="9214" w:type="dxa"/>
        <w:jc w:val="left"/>
        <w:tblInd w:w="0" w:type="dxa"/>
        <w:tblLayout w:type="fixed"/>
        <w:tblCellMar>
          <w:top w:w="0" w:type="dxa"/>
          <w:left w:w="0" w:type="dxa"/>
          <w:bottom w:w="0" w:type="dxa"/>
          <w:right w:w="0" w:type="dxa"/>
        </w:tblCellMar>
      </w:tblPr>
      <w:tblGrid>
        <w:gridCol w:w="3556"/>
        <w:gridCol w:w="346"/>
        <w:gridCol w:w="262"/>
        <w:gridCol w:w="842"/>
        <w:gridCol w:w="431"/>
        <w:gridCol w:w="262"/>
        <w:gridCol w:w="842"/>
        <w:gridCol w:w="109"/>
        <w:gridCol w:w="222"/>
        <w:gridCol w:w="823"/>
        <w:gridCol w:w="364"/>
        <w:gridCol w:w="222"/>
        <w:gridCol w:w="933"/>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258060" cy="175260"/>
                      <wp:effectExtent l="0" t="0" r="0" b="0"/>
                      <wp:wrapNone/>
                      <wp:docPr id="205" name="Frame205"/>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6370" cy="175260"/>
                      <wp:effectExtent l="0" t="0" r="0" b="0"/>
                      <wp:wrapNone/>
                      <wp:docPr id="207" name="Frame20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34670" cy="175260"/>
                      <wp:effectExtent l="0" t="0" r="0" b="0"/>
                      <wp:wrapNone/>
                      <wp:docPr id="208" name="Frame20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73685" cy="175260"/>
                      <wp:effectExtent l="0" t="0" r="0" b="0"/>
                      <wp:wrapNone/>
                      <wp:docPr id="209" name="Frame209"/>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6370" cy="175260"/>
                      <wp:effectExtent l="0" t="0" r="0" b="0"/>
                      <wp:wrapNone/>
                      <wp:docPr id="210" name="Frame210"/>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34670" cy="175260"/>
                      <wp:effectExtent l="0" t="0" r="0" b="0"/>
                      <wp:wrapNone/>
                      <wp:docPr id="211" name="Frame211"/>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0970" cy="175260"/>
                      <wp:effectExtent l="0" t="0" r="0" b="0"/>
                      <wp:wrapNone/>
                      <wp:docPr id="213" name="Frame21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22605" cy="175260"/>
                      <wp:effectExtent l="0" t="0" r="0" b="0"/>
                      <wp:wrapNone/>
                      <wp:docPr id="214" name="Frame21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31140" cy="175260"/>
                      <wp:effectExtent l="0" t="0" r="0" b="0"/>
                      <wp:wrapNone/>
                      <wp:docPr id="215" name="Frame21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0970" cy="175260"/>
                      <wp:effectExtent l="0" t="0" r="0" b="0"/>
                      <wp:wrapNone/>
                      <wp:docPr id="216" name="Frame21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2455" cy="175260"/>
                      <wp:effectExtent l="0" t="0" r="0" b="0"/>
                      <wp:wrapNone/>
                      <wp:docPr id="217" name="Frame21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July 31, </w:t>
            </w:r>
          </w:p>
        </w:tc>
        <w:tc>
          <w:tcPr>
            <w:tcW w:w="109" w:type="dxa"/>
            <w:tcBorders/>
            <w:vAlign w:val="center"/>
          </w:tcPr>
          <w:p>
            <w:pPr>
              <w:pStyle w:val="TableContents"/>
              <w:bidi w:val="0"/>
              <w:spacing w:before="0" w:after="0"/>
              <w:ind w:left="0" w:right="0" w:hanging="0"/>
              <w:jc w:val="center"/>
              <w:rPr/>
            </w:pPr>
            <w:r>
              <w:rPr/>
              <w:t>​</w:t>
            </w:r>
          </w:p>
        </w:tc>
        <w:tc>
          <w:tcPr>
            <w:tcW w:w="25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July 31, </w:t>
            </w:r>
          </w:p>
        </w:tc>
      </w:tr>
      <w:tr>
        <w:trPr/>
        <w:tc>
          <w:tcPr>
            <w:tcW w:w="35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31" w:type="dxa"/>
            <w:tcBorders/>
            <w:vAlign w:val="center"/>
          </w:tcPr>
          <w:p>
            <w:pPr>
              <w:pStyle w:val="TableContents"/>
              <w:bidi w:val="0"/>
              <w:spacing w:before="0" w:after="0"/>
              <w:ind w:left="0" w:right="0" w:hanging="0"/>
              <w:jc w:val="left"/>
              <w:rPr/>
            </w:pPr>
            <w:r>
              <w:rPr/>
              <w:t>  ​ ​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4" w:type="dxa"/>
            <w:tcBorders/>
            <w:vAlign w:val="center"/>
          </w:tcPr>
          <w:p>
            <w:pPr>
              <w:pStyle w:val="TableContents"/>
              <w:bidi w:val="0"/>
              <w:spacing w:before="0" w:after="0"/>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Computerized Machine Tools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38,008</w:t>
            </w:r>
          </w:p>
        </w:tc>
        <w:tc>
          <w:tcPr>
            <w:tcW w:w="431"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36,889</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110,094</w:t>
            </w:r>
          </w:p>
        </w:tc>
        <w:tc>
          <w:tcPr>
            <w:tcW w:w="364"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106,347</w:t>
            </w:r>
          </w:p>
        </w:tc>
      </w:tr>
      <w:tr>
        <w:trPr/>
        <w:tc>
          <w:tcPr>
            <w:tcW w:w="35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Computer Control Systems and Software </w:t>
            </w:r>
            <w:r>
              <w:rPr>
                <w:rFonts w:ascii="Times New Roman;Times;serif" w:hAnsi="Times New Roman;Times;serif"/>
                <w:color w:val="5E6A71"/>
                <w:sz w:val="20"/>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431"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109"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364"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Parts</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6,706</w:t>
            </w:r>
          </w:p>
        </w:tc>
        <w:tc>
          <w:tcPr>
            <w:tcW w:w="431"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8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6,309</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19,815</w:t>
            </w:r>
          </w:p>
        </w:tc>
        <w:tc>
          <w:tcPr>
            <w:tcW w:w="364"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Fees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431"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c>
          <w:tcPr>
            <w:tcW w:w="109"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364"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47,289</w:t>
            </w:r>
          </w:p>
        </w:tc>
        <w:tc>
          <w:tcPr>
            <w:tcW w:w="431" w:type="dxa"/>
            <w:tcBorders/>
            <w:shd w:fill="CCEEFF" w:val="clear"/>
            <w:vAlign w:val="center"/>
          </w:tcPr>
          <w:p>
            <w:pPr>
              <w:pStyle w:val="TableContents"/>
              <w:bidi w:val="0"/>
              <w:spacing w:before="0" w:after="0"/>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45,806</w:t>
            </w:r>
          </w:p>
        </w:tc>
        <w:tc>
          <w:tcPr>
            <w:tcW w:w="109"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137,775</w:t>
            </w:r>
          </w:p>
        </w:tc>
        <w:tc>
          <w:tcPr>
            <w:tcW w:w="364" w:type="dxa"/>
            <w:tcBorders/>
            <w:shd w:fill="CCEE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133,087</w:t>
            </w:r>
          </w:p>
        </w:tc>
      </w:tr>
    </w:tbl>
    <w:p>
      <w:pPr>
        <w:pStyle w:val="TextBody"/>
        <w:bidi w:val="0"/>
        <w:spacing w:lineRule="auto" w:line="240" w:before="0" w:after="0"/>
        <w:ind w:left="0" w:right="0" w:hanging="0"/>
        <w:jc w:val="left"/>
        <w:rPr/>
      </w:pPr>
      <w:r>
        <w:rPr/>
        <w:t>† </w:t>
      </w:r>
      <w:r>
        <w:rPr>
          <w:rFonts w:ascii="Times New Roman;Times;serif" w:hAnsi="Times New Roman;Times;serif"/>
          <w:sz w:val="18"/>
        </w:rPr>
        <w:t>Amounts shown do not include computer control systems and software sold as an integrated component of computerized machine systems.</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GUARANTEES AND PRODUCT WARRANTIES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our subsidiaries guarantee third party payment obligations in connection with the sale of machines to customers that use financing. We follow FASB guidance for accounting for guarantees (codified in ASC 460). As of July 31, 2026, we had four outstanding third party payment guarantees totaling approximately $0.3 million. The terms of these guarantees are consistent with the underlying customer financing terms. Upon shipment of a machine, the customer assumes the risk of ownership. The customer does not obtain title, however, until it has paid for the machine. A retention of title clause allows us to recover the machine if the customer defaults on the financing. We accrue liabilities under these guarantees at fair value, which amounts are insignificant.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provide warranties on our products with respect to defects in material and workmanship. The terms of these warranties range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years for machines and shorter periods for service parts. We recognize an estimated liability with respect to this obligation at the time of product sale, with subsequent warranty claims recorded against the estimated liability. The amount of the warranty estimated liability is determined based on historical trend experience and any known warranty issues that could cause future warranty costs to differ from historical experience.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16" w:name="Tc_59v3N3vDYEurVZ94xmvqvw_8_5"/>
      <w:bookmarkStart w:id="1117" w:name="Tc_vWIaLkKtNUuXnHP92_Txdg_8_2"/>
      <w:bookmarkStart w:id="1118" w:name="Tc_unxAZxBESk-TgBghM62wJw_8_0"/>
      <w:bookmarkStart w:id="1119" w:name="Tc_g-KXVbjGqUyA9EMioWufsA_7_0"/>
      <w:bookmarkStart w:id="1120" w:name="Tc_SUFhJZ5eE0KU_7w05hDCnw_6_0"/>
      <w:bookmarkStart w:id="1121" w:name="Tc_2QLMunRq9E66NEjaM0VdrA_5_0"/>
      <w:bookmarkStart w:id="1122" w:name="Tc_wAKHj2S2a0KlLw_he-BG-g_4_5"/>
      <w:bookmarkStart w:id="1123" w:name="Tc_r2i8FZ2TVkWCSTvPRL_Vyg_4_2"/>
      <w:bookmarkStart w:id="1124" w:name="Tc_Q5a0z-dQrEaNzclGXYtK-g_4_0"/>
      <w:bookmarkStart w:id="1125" w:name="Tc_iCAurE9K6E6TUy77W_XKMQ_3_5"/>
      <w:bookmarkStart w:id="1126" w:name="Tc_nb8cC3YiJEGMlimlImY1Eg_3_2"/>
      <w:bookmarkStart w:id="1127" w:name="Tc_iG75jN4POUWbof9Deq_DHQ_2_2"/>
      <w:bookmarkStart w:id="1128" w:name="Tc_6o72Kq3fm0ue_CgmJHLq8g_1_2"/>
      <w:bookmarkStart w:id="1129" w:name="_d92da675_e9a2_4017_a8c4_68ca0fbff2c4"/>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rFonts w:ascii="Times New Roman;Times;serif" w:hAnsi="Times New Roman;Times;serif"/>
          <w:sz w:val="20"/>
        </w:rPr>
        <w:t>A reconciliation of the changes in our warranty estimated liability is as follows (in thousands):</w:t>
      </w:r>
    </w:p>
    <w:p>
      <w:pPr>
        <w:pStyle w:val="TextBody"/>
        <w:bidi w:val="0"/>
        <w:spacing w:before="0" w:after="240"/>
        <w:ind w:left="0" w:right="0" w:hanging="0"/>
        <w:jc w:val="both"/>
        <w:rPr/>
      </w:pPr>
      <w:r>
        <w:rPr/>
        <w:t>​</w:t>
      </w:r>
    </w:p>
    <w:tbl>
      <w:tblPr>
        <w:tblW w:w="5917" w:type="dxa"/>
        <w:jc w:val="left"/>
        <w:tblInd w:w="0" w:type="dxa"/>
        <w:tblLayout w:type="fixed"/>
        <w:tblCellMar>
          <w:top w:w="0" w:type="dxa"/>
          <w:left w:w="0" w:type="dxa"/>
          <w:bottom w:w="0" w:type="dxa"/>
          <w:right w:w="0" w:type="dxa"/>
        </w:tblCellMar>
      </w:tblPr>
      <w:tblGrid>
        <w:gridCol w:w="3496"/>
        <w:gridCol w:w="346"/>
        <w:gridCol w:w="211"/>
        <w:gridCol w:w="691"/>
        <w:gridCol w:w="226"/>
        <w:gridCol w:w="211"/>
        <w:gridCol w:w="73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219960" cy="175260"/>
                      <wp:effectExtent l="0" t="0" r="0" b="0"/>
                      <wp:wrapNone/>
                      <wp:docPr id="218" name="Frame218"/>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38785" cy="175260"/>
                      <wp:effectExtent l="0" t="0" r="0" b="0"/>
                      <wp:wrapNone/>
                      <wp:docPr id="221" name="Frame2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3510" cy="175260"/>
                      <wp:effectExtent l="0" t="0" r="0" b="0"/>
                      <wp:wrapNone/>
                      <wp:docPr id="222" name="Frame2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67360" cy="175260"/>
                      <wp:effectExtent l="0" t="0" r="0" b="0"/>
                      <wp:wrapNone/>
                      <wp:docPr id="224" name="Frame2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07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July 31, </w:t>
            </w:r>
          </w:p>
        </w:tc>
      </w:tr>
      <w:tr>
        <w:trPr/>
        <w:tc>
          <w:tcPr>
            <w:tcW w:w="34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26"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warranties during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2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1,747</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Charges to the estimated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w:t>
            </w:r>
          </w:p>
        </w:tc>
        <w:tc>
          <w:tcPr>
            <w:tcW w:w="2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Impact of foreign currency translation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2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4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w:t>
            </w:r>
          </w:p>
        </w:tc>
        <w:tc>
          <w:tcPr>
            <w:tcW w:w="2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961</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year-over-year increase in our warranty estimated liability was primarily due to increased shipments of 5-axis and larger, higher- performance vertical milling machines, as well as an increase in warranty terms from approximately one year to three years for Hurco and Takumi products sold throughout the Americas.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  DEBT AGREEMENTS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31, 2018, we and our subsidiary Hurco B.V. entered into a credit agreement with Bank of America, N.A., as the lender, which was subsequently amended on each of March 13, 2020, December 23, 2020, December 17, 2021, January 4, 2023, and December 19, 2023 (as amended, the “2018 Credit Agreement”). The 2018 Credit Agreement provided for an unsecured revolving credit and letter of credit facility in a maximum aggregate amount of $40.0 million. The 2018 Credit Agreement provided that the maximum amount of outstanding letters of credit at any one time could not exceed $10.0 million, the maximum amount of outstanding loans made to our subsidiary Hurco B.V. at any one time could not exceed $20.0 million, and the maximum amount of all outstanding loans denominated in alternative currencies at any one time could not exceed $20.0 million. The scheduled maturity date of the 2018 Credit Agreement was December 31, 2025, and on that date, the 2018 Credit Agreement terminated in accordance with its terms.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2019, our wholly-owned subsidiaries in Taiwan (Hurco Manufacturing Limited (“HML”)) and China (Ningbo Hurco Machine Tool, Ltd. (“NHML”)) closed on uncommitted revolving credit facilities with maximum aggregate amounts of 150 million New Taiwan Dollars and 32.5 million Chinese Yuan, respectively.  As uncommitted facilities, both the Taiwan and China credit facilities were subject to review and termination by the respective underlying lending institution from time to time. On December 31, 2025, the 150 million New Taiwan Dollars Taiwan credit facility and the 32.5 million Chinese Yuan China credit facility terminated in accordance with their terms.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5, 2026, we entered into a new credit agreement with Bank of America, N.A., as the lender (the “2026 Credit Agreement”). The 2026 Credit Agreement provides for a secured revolving credit and letter of credit facility in a maximum aggregate amount of $20.0 million. The 2026 Credit Agreement provides that the maximum amount of outstanding letters of credit at any one time may not exceed $10.0 million, and the maximum amount of all outstanding loans denominated in alternative currencies at any one time may not exceed $20.0 million. Under the 2026 Credit Agreement, we are the borrower, and certain of our subsidiaries are guarantors. Our obligations under the 2026 Credit Agreement are secured by a security interest in substantially all of our personal property and substantially all of the personal property of each subsidiary guarantor. The scheduled maturity date of the 2026 Credit Agreement is December 31, 2026.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Borrowings under the 2026 Credit Agreement bear interest at floating rates based on, at our option, either (i) a rate based upon the secured overnight financing rate (“SOFR”), the Sterling Overnight Index Average Reference Rate, the Euro Interbank Offering Rate, or another alternative currency-based rate approved by the lender, depending on the term of the loan and the currency in which such loan is denominated, plus 2.50% per annum, or (ii) a base rate (which is the highest of (a) the federal funds rate plus 0.50%, (b) the prime rate or (c) the one month SOFR-based rate plus 1.00%), plus 1.50% per annum. Any outstanding letters of credit carry an annual rate of 2.50%.</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2026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(a) cash dividends, except that we may pay cash dividends as long as immediately before and after giving effect to such payment, the sum of the unused amount of the commitments under the 2026 Credit Agreement plus our cash on hand is not less than $10.0 million, we are in pro forma compliance with the maximum consolidated leverage ratio covenant as described below, and we are not in default before and after giving effect to such dividend payments; and (b) payments made to repurchase shares of our common stock, except that we may repurchase shares of our common stock as long as we are not in default before and after giving effect to such repurchases and the aggregate amount of payments made by us for all such repurchases during any fiscal year does not exceed $10.0 million; and (3) requiring that we maintain a maximum consolidated leverage ratio of total debt to EBITDA no greater than 2.00 to 1.00, with EBITDA defined as the greater of (i) consolidated EBITDA for the most recently completed measurement period and (ii) $1.00. We may use the proceeds from advances under the 2026 Credit Agreement for general corporate purposes.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maximum consolidated leverage ratio covenant effectively prohibits us from borrowing any amounts under the 2026 Credit Agreement when our consolidated EBITDA for the most recently completed measurement period is negative. As of the date of this report, the most recently completed measurement period was our twelve months ended July 31, 2026, during which our consolidated EBITDA was negative. In order to borrow in compliance with the maximum consolidated leverage ratio covenant set forth above, we are effectively prohibited from borrowing under the 2026 Credit Agreement until we have positive consolidated EBITDA for our most recently completed four fiscal quarters.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July 31, 2026, our credit facilities consisted of a €1.5 million revolving credit facility in Germany and the $20.0 million secured revolving credit and letter of credit facility.  We had no debt or borrowings outstanding under any of our credit facilities as of July 31, 2026.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12.  INCOME TAXES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provision for income taxes and effective tax rate is affected by the geographic composition of pre-tax income which includes jurisdictions with differing tax rates, conditional reduced tax rates, and other events that are not consistent from period to period, such as changes in income tax laws.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recorded income tax expense during the first nine months of fiscal year 2026 of $1.7 million, compared to $3.1 million for the corresponding prior year period. Our effective tax rate for the first nine months of fiscal year 2026 was (90%), compared to (35%) in the corresponding prior year period. The year-over-year change was primarily due to a $1.2 million valuation allowance recorded during the first quarter of 2025 on our Italian deferred tax assets and changes in geographic mix of income and loss that includes jurisdictions with differing tax rates. A full valuation allowance has been recorded against our Italian, U.S., and Chinese deferred tax assets as of July 31, 2026, based on our conclusion that the deferred tax assets were not more likely than not to be realized.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Budget Reconciliation Act (H.R. 1) (“OBBB”) was signed into law on July 4, 2025. The OBBB did not have a material impact on our condensed consolidated financial statements and related disclosures as of and for the three and nine months ended July 31, 2026. While further evaluation is ongoing, the OBBB is not expected to have a material impact on our consolidated financial statements and related disclosures in future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file U.S. federal and state income tax returns, as well as tax returns in several foreign jurisdictions. We are currently under audit by the Internal Revenue Service (IRS) for our federal income tax return for fiscal year 2024 and our manufacturing subsidiary in Italy is under tax inspection for the fiscal year ended October 31, 2021.</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30" w:name="Tc_YzVXTQVxlkaRYNdALmXRNQ_7_11"/>
      <w:bookmarkStart w:id="1131" w:name="Tc_ozEwWde7T06_0dyPr5kjrw_7_8"/>
      <w:bookmarkStart w:id="1132" w:name="Tc_6bSGEKiVkkyz5ncA0Pgg-g_7_5"/>
      <w:bookmarkStart w:id="1133" w:name="Tc_xl4AgB_B-kG4354h9KV-7w_7_2"/>
      <w:bookmarkStart w:id="1134" w:name="Tc_XwpqLc3hwEOBYnZdpaFYWw_7_0"/>
      <w:bookmarkStart w:id="1135" w:name="Tc_0eqWzb2Ik0-0cnPIJEA3yQ_6_0"/>
      <w:bookmarkStart w:id="1136" w:name="Tc_efqqhy_MtE6eMx5H69sZBg_4_11"/>
      <w:bookmarkStart w:id="1137" w:name="Tc_tYWD7siu6kuBOoQSCCzAhg_4_8"/>
      <w:bookmarkStart w:id="1138" w:name="Tc_l8sYSEmkWkuTvx21aUt6IQ_4_5"/>
      <w:bookmarkStart w:id="1139" w:name="Tc_4HBKQ4XiN0WyMMHBMK-c3w_4_2"/>
      <w:bookmarkStart w:id="1140" w:name="Tc_YQrJCByGCkqcp1Eov4svzw_4_0"/>
      <w:bookmarkStart w:id="1141" w:name="Tc_RU4TJWJcekeL4fA4XKrQUQ_3_0"/>
      <w:bookmarkStart w:id="1142" w:name="Tc_ZQ9Gfy7u1kSRcOy2wvOIeQ_2_11"/>
      <w:bookmarkStart w:id="1143" w:name="Tc_zEcYbl0Yz06HYv2rooJx-A_2_8"/>
      <w:bookmarkStart w:id="1144" w:name="Tc_fFkD9xZ1NUmwAzncSyO3DQ_2_5"/>
      <w:bookmarkStart w:id="1145" w:name="Tc_HXWyWB9Q2kSMbILPa2bpuA_2_2"/>
      <w:bookmarkStart w:id="1146" w:name="Tc_2Q0LB2PJiUWdJTAWLWQoog_1_8"/>
      <w:bookmarkStart w:id="1147" w:name="Tc_I6zAOBh53U6RZiYYYh5HPA_1_2"/>
      <w:bookmarkStart w:id="1148" w:name="Financial_Instruments"/>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sz w:val="20"/>
        </w:rPr>
        <w:t>13.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FASB fair value guidance establishes a three-tier fair value hierarchy, which categorizes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 therefore requiring an entity to develop its own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for cash and cash equivalents approximate their fair values due to the short maturity of these instruments, and such instruments meet the Level 1 criteria of the three–tier fair value hierarchy discussed above. The carrying amount of short-term debt approximates fair value due to the variable rate of the interest and the short-term nature of the instrument.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this guidance, the following table represents the fair value hierarchy for our financial assets and liabilities measured at fair value as of July 31, 2026, and October 31, 2025 (in thousands):</w:t>
      </w:r>
    </w:p>
    <w:p>
      <w:pPr>
        <w:pStyle w:val="TextBody"/>
        <w:bidi w:val="0"/>
        <w:spacing w:before="0" w:after="240"/>
        <w:ind w:left="0" w:right="0" w:hanging="0"/>
        <w:jc w:val="both"/>
        <w:rPr/>
      </w:pPr>
      <w:r>
        <w:rPr/>
        <w:t>​</w:t>
      </w:r>
    </w:p>
    <w:tbl>
      <w:tblPr>
        <w:tblW w:w="8304" w:type="dxa"/>
        <w:jc w:val="left"/>
        <w:tblInd w:w="0" w:type="dxa"/>
        <w:tblLayout w:type="fixed"/>
        <w:tblCellMar>
          <w:top w:w="0" w:type="dxa"/>
          <w:left w:w="0" w:type="dxa"/>
          <w:bottom w:w="0" w:type="dxa"/>
          <w:right w:w="0" w:type="dxa"/>
        </w:tblCellMar>
      </w:tblPr>
      <w:tblGrid>
        <w:gridCol w:w="1261"/>
        <w:gridCol w:w="346"/>
        <w:gridCol w:w="336"/>
        <w:gridCol w:w="910"/>
        <w:gridCol w:w="346"/>
        <w:gridCol w:w="421"/>
        <w:gridCol w:w="1140"/>
        <w:gridCol w:w="346"/>
        <w:gridCol w:w="336"/>
        <w:gridCol w:w="910"/>
        <w:gridCol w:w="346"/>
        <w:gridCol w:w="382"/>
        <w:gridCol w:w="1224"/>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00735" cy="175260"/>
                      <wp:effectExtent l="0" t="0" r="0" b="0"/>
                      <wp:wrapNone/>
                      <wp:docPr id="225" name="Frame22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3360" cy="175260"/>
                      <wp:effectExtent l="0" t="0" r="0" b="0"/>
                      <wp:wrapNone/>
                      <wp:docPr id="227" name="Frame22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77850" cy="175260"/>
                      <wp:effectExtent l="0" t="0" r="0" b="0"/>
                      <wp:wrapNone/>
                      <wp:docPr id="228" name="Frame228"/>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67335" cy="175260"/>
                      <wp:effectExtent l="0" t="0" r="0" b="0"/>
                      <wp:wrapNone/>
                      <wp:docPr id="230" name="Frame23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23900" cy="175260"/>
                      <wp:effectExtent l="0" t="0" r="0" b="0"/>
                      <wp:wrapNone/>
                      <wp:docPr id="231" name="Frame231"/>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3360" cy="175260"/>
                      <wp:effectExtent l="0" t="0" r="0" b="0"/>
                      <wp:wrapNone/>
                      <wp:docPr id="233" name="Frame233"/>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77850" cy="175260"/>
                      <wp:effectExtent l="0" t="0" r="0" b="0"/>
                      <wp:wrapNone/>
                      <wp:docPr id="234" name="Frame23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42570" cy="175260"/>
                      <wp:effectExtent l="0" t="0" r="0" b="0"/>
                      <wp:wrapNone/>
                      <wp:docPr id="236" name="Frame236"/>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777240" cy="175260"/>
                      <wp:effectExtent l="0" t="0" r="0" b="0"/>
                      <wp:wrapNone/>
                      <wp:docPr id="237" name="Frame237"/>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before="0" w:after="0"/>
              <w:ind w:left="0" w:right="0" w:hanging="0"/>
              <w:jc w:val="left"/>
              <w:rPr/>
            </w:pPr>
            <w:r>
              <w:rPr/>
              <w:t>​</w:t>
            </w:r>
          </w:p>
        </w:tc>
        <w:tc>
          <w:tcPr>
            <w:tcW w:w="31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w:t>
            </w:r>
          </w:p>
        </w:tc>
      </w:tr>
      <w:tr>
        <w:trPr/>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2026</w:t>
            </w:r>
          </w:p>
        </w:tc>
        <w:tc>
          <w:tcPr>
            <w:tcW w:w="346" w:type="dxa"/>
            <w:tcBorders/>
            <w:vAlign w:val="center"/>
          </w:tcPr>
          <w:p>
            <w:pPr>
              <w:pStyle w:val="TableContents"/>
              <w:bidi w:val="0"/>
              <w:spacing w:before="0" w:after="0"/>
              <w:ind w:left="0" w:right="0" w:hanging="0"/>
              <w:jc w:val="left"/>
              <w:rPr/>
            </w:pPr>
            <w:r>
              <w:rPr/>
              <w:t>  ​ ​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31, 2025</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2026</w:t>
            </w:r>
          </w:p>
        </w:tc>
        <w:tc>
          <w:tcPr>
            <w:tcW w:w="346" w:type="dxa"/>
            <w:tcBorders/>
            <w:vAlign w:val="center"/>
          </w:tcPr>
          <w:p>
            <w:pPr>
              <w:pStyle w:val="TableContents"/>
              <w:bidi w:val="0"/>
              <w:spacing w:before="0" w:after="0"/>
              <w:ind w:left="0" w:right="0" w:hanging="0"/>
              <w:jc w:val="left"/>
              <w:rPr/>
            </w:pPr>
            <w:r>
              <w:rPr/>
              <w:t>  ​ ​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31, 2025</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34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Mutual Funds</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w:t>
            </w:r>
          </w:p>
        </w:tc>
        <w:tc>
          <w:tcPr>
            <w:tcW w:w="346" w:type="dxa"/>
            <w:tcBorders/>
            <w:vAlign w:val="center"/>
          </w:tcPr>
          <w:p>
            <w:pPr>
              <w:pStyle w:val="TableContents"/>
              <w:bidi w:val="0"/>
              <w:spacing w:before="0" w:after="0"/>
              <w:ind w:left="0" w:right="0" w:hanging="0"/>
              <w:jc w:val="right"/>
              <w:rPr/>
            </w:pPr>
            <w:r>
              <w:rPr/>
              <w:t>  ​</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3,489</w:t>
            </w:r>
          </w:p>
        </w:tc>
        <w:tc>
          <w:tcPr>
            <w:tcW w:w="3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34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 </w:t>
            </w:r>
          </w:p>
        </w:tc>
        <w:tc>
          <w:tcPr>
            <w:tcW w:w="114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4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4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46" w:type="dxa"/>
            <w:tcBorders/>
            <w:shd w:fill="CCEEFF" w:val="clear"/>
            <w:vAlign w:val="center"/>
          </w:tcPr>
          <w:p>
            <w:pPr>
              <w:pStyle w:val="TableContents"/>
              <w:bidi w:val="0"/>
              <w:spacing w:before="0" w:after="0"/>
              <w:ind w:left="0" w:right="0" w:hanging="0"/>
              <w:jc w:val="left"/>
              <w:rPr/>
            </w:pPr>
            <w:r>
              <w:rPr/>
              <w:t> </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3,084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Level 1 assets are mutual fund investments under a nonqualified deferred compensation plan. We estimate the fair value of these investments on a recurring basis using market prices that are readily available.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Included in Level 2 fair value measurements are derivative assets and liabilities related to gains and losses on foreign currency forward exchange contracts entered into with a third party. We estimate the fair value of these derivatives on a recurring basis using foreign currency exchange rates obtained from active markets. Derivative instruments are reported in the accompanying Condensed Consolidated Financial Statements at fair value. We have derivative financial instruments in the form of foreign currency forward exchange contracts as described in Note 3 of Notes to Condensed Consolidated Financial Statements. The U.S. dollar equivalent notional amounts of these contracts were $90.9 million and $91.0 million at July 31, 2026, and October 31,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our foreign currency forward exchange contracts and the related currency positions are subject to offsetting market risk resulting from foreign currency exchange rate volatility.  The counterparties to the forward exchange contracts are substantial and creditworthy financial institutions.  We do not consider either the risk of counterparties’ non-performance or the economic consequences of counterparties’ non-performance to be material risks.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149" w:name="ContingenciesAndLitigation"/>
      <w:bookmarkEnd w:id="1149"/>
      <w:r>
        <w:rPr>
          <w:rFonts w:ascii="Times New Roman;Times;serif" w:hAnsi="Times New Roman;Times;serif"/>
          <w:sz w:val="20"/>
        </w:rPr>
        <w:t>14.  CONTINGENCIES AND LITIGATION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15.  NEW ACCOUNTING PRONOUNCEMENTS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2023, the FASB issued Accounting Standards Update (“ASU”) 2023-09, Income Taxes (Topic 740): Improvements to Income Tax Disclosures, which is intended to enhance the transparency and usefulness of income tax disclosures by providing incremental and disaggregated income tax disclosures pertaining to the effective tax rate reconciliation and income taxes paid by jurisdiction. This standard is effective for fiscal years beginning after December 31, 2024, with early adoption permitted. The standard allows for prospective or retrospective application upon adoption. We are currently assessing the impact this new accounting guidance will have on our consolidated financial statements and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the FASB issued ASU No. 2024-03, Income Statement—Reporting Comprehensive Income—Expense Disaggregation Disclosures (Subtopic 220-40), which requires companies to disclose disaggregated information about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depletion expenses. This update will be effective for our fiscal year 2028 annual reporting. Early adoption is permitted. We are currently assessing the impact this new accounting guidance will have on our consolidated financial statements and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2025, the FASB issued ASU 2025-09, Derivatives and Hedging (Topic 815): Hedge Accounting Improvements, which enables entities to apply hedge accounting to a greater number of highly effective economic hedges in the following five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This ASU will be effective for fiscal year 2028 annual reporting. Early adoption is permitted. We are currently assessing the impact this new accounting guidance will have on our consolidated financial statements and disclosures.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bookmarkStart w:id="1150" w:name="Item2MANAGEMENTSDISCUSSIONANDANALYSISOFF"/>
      <w:bookmarkStart w:id="1151" w:name="_e3948ec2_0658_423a_bc47_4e9fd39cf18e"/>
      <w:bookmarkEnd w:id="1150"/>
      <w:bookmarkEnd w:id="1151"/>
      <w:r>
        <w:rPr>
          <w:rFonts w:ascii="Times New Roman;Times;serif" w:hAnsi="Times New Roman;Times;serif"/>
          <w:sz w:val="20"/>
        </w:rPr>
        <w:t>Item 2.    MANAGEMENT’S DISCUSSION AND ANALYSIS OF FINANCIAL CONDITION AND 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Management’s Discussion and Analysis of Financial Condition and Results of Operations (“MD&amp;A”) contains information intended to help provide an understanding of our financial condition and other related matters, including our liquidity, capital resources, and results of operations. The MD&amp;A is provided as a supplement to, and should be read in conjunction with, our unaudited financial statements and the notes accompanying our unaudited financial statements appearing elsewhere in this report, as well as our audited financial statements, the accompanying notes and the MD&amp;A included in our Annual Report on Form 10-K for the year ended October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OVERVIEW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Hurco Companies, Inc. is an international, industrial technology company operating in a single segment. We design, manufacture, and sell computerized (i.e., CNC) machine tools, consisting primarily of vertical machining centers (mills) and turning centers (lathes), to companies in the metal cutting industry through a worldwide sales, service, and distribution network. Although most of our computer control systems and software products are proprietary, they predominantly use industry standard personal computer components. Our computer control systems and software products are primarily sold as integral components of our computerized machine tool products. We also provide machine tool components, automation integration equipment and solutions for job shops, software options, control upgrades, accessories, and replacement parts for our products, as well as customer service and training and applications support.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overview is intended to provide a brief explanation of the principal factors that have contributed to our recent financial performance. This overview is intended to be read in conjunction with the more detailed information included in our condensed consolidated financial statements and notes thereto, that appear elsewhere in this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for machine tools is international in scope. We have both significant foreign sales and significant foreign manufacturing operations. During the first nine months of fiscal 2026, approximately 45% of our revenues were attributable to customers in Europe, where we typically sell more of our higher-performance, higher-priced VMX series machines. Additionally, approximately 14% of our revenues were attributable to customers in the Asia Pacific region, where we encounter greater pricing pressures. We operate in a cyclical industry where sales and order trends often change periodically and can vary from region to region.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a time of global uncertainty and lower sales volumes experienced recently, we have turned our attention to adjusting overhead expenses and operating expenses to help minimize the impact of the lower volumes of sales on operating income. We implemented cost reductions in fiscal years 2024 and 2025, adjusted and managed inventories (excluding the impact of foreign currency), and suspended our regular quarterly cash dividend. In recent periods, we have used our operating cashflow to manage our capital allocation strategies to continue investing in new technologies, product development, and necessary capital expenditures without incurring significant indebtedness as we continue to seek new acquisitions and other growth opportunities. The cyclicality of our business requires that we exercise discipline in managing through changes in the markets and industries in which we operate. We believe that our historical profitability and the strength of our balance sheet can provide us with stability to manage through these business cycles, and we rely on our past experience in making measured decisions for the long-term success of our business.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and service fees in the first nine months of fiscal 2026 increased by 4%, compared to the same period in fiscal 2025. The increase in sales was due primarily to increased shipments of Hurco 5-axis and higher-performance vertical milling machines in the Americas and Asia Pacific, as well as increased shipments of Milltronics and Takumi machines in the Americas and Takumi vertical milling machines and private labeled machine frames produced for third parties in Asia Pacific.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three CNC machine tool brands in our product portfolio. Hurco is the technology innovation brand for customers who want to increase productivity and profitability by selecting a brand with the latest software and motion technology. Milltronics is the value-based brand for shops that want easy-to-use machines at competitive prices. The Takumi brand is for customers that need very high speed, high efficiency performance, such as that required in the production, die and mold, aerospace, and medical industries.  Takumi machines are equipped with industry standard controls instead of the proprietary controls found on Hurco and Milltronics machines. These three brands of CNC machine tools are responsible for the vast majority of our revenue. However, we have added other non-Hurco branded products to our product portfolio that have contributed product diversity and market penetration opportunity. These non-Hurco branded products are sold by our wholly-owned distributors and are comprised primarily of other general-purpose vertical milling centers and lathes, laser cutting machines, CNC grinders, compact horizontal machines, metal cutting saws and CNC lathes. ProCobots LLC is our wholly-owned subsidiary that provides automation solutions. In addition, through LCM, we produce high value machine tool components and accessories.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principally sell our products through approximately 160 independent agents and distributors throughout the Americas, Europe, and Asia. Although some distributors carry competitive products, we are the primary line for the majority of our distributors globally. We also have our own direct sales and service organizations in China, the Czech Republic, France, Germany, India, Italy, the Netherlands, Poland, Singapore, Taiwan, the United Kingdom, and certain parts of the United States, which are among the world’s principal machine tool consuming markets. The vast majority of our machine tools are manufactured and assembled to our specifications primarily by our wholly-owned subsidiary in Taiwan, HML. Components to support our SRT line of five-axis machining centers, such as the direct drive spindle, swivel head, and rotary table, are manufactured by LCM.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sales to foreign customers are denominated, and payments by those customers are made, in the prevailing currencies in the countries in which those customers are located (primarily the Euro, Pound Sterling, and Chinese Yuan). Our product costs are incurred and paid primarily in the New Taiwan Dollar and the U.S. dollar. Changes in currency exchange rates may have a material effect on our operating results and condensed consolidated financial statements as reported under U.S. Generally Accepted Accounting Principles. For example, when the U.S. dollar weakens in value relative to a foreign currency, sales made, and expenses incurred, in that currency when translated to U.S. dollars for reporting in our condensed consolidated financial statements, are higher than would be the case when the U.S. dollar is stronger. In the comparison of our period-to-period results, we discuss the effect of currency translation on those results, which reflect translation to U.S. dollars at exchange rates prevailing during the period covered by those financial statements.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high levels of foreign manufacturing and sales also expose us to cash flow risks due to fluctuating currency exchange rates.  We seek to mitigate those risks through the use of derivative instruments – principally foreign currency forward exchange contracts.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July 31, 2026 Compared to Three Months Ended July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Sales and Service Fees. </w:t>
      </w:r>
      <w:r>
        <w:rPr>
          <w:rFonts w:ascii="Times New Roman;Times;serif" w:hAnsi="Times New Roman;Times;serif"/>
          <w:sz w:val="20"/>
        </w:rPr>
        <w:t>Sales and service fees for the third quarter of fiscal year 2026 were $47.3 million, an increase of $1.5 million, or 3%, compared to the corresponding prior year period, and included an unfavorable currency impact of less than $0.1 million, or less than 1%, when translating foreign sales to U.S. dollars for financial reporting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Service Fees by Geographic Region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net sales and service fees by geographic region for the third fiscal quarter ended July 31, 2026 and 2025 (dollars in thousands):</w:t>
      </w:r>
    </w:p>
    <w:tbl>
      <w:tblPr>
        <w:tblW w:w="8012" w:type="dxa"/>
        <w:jc w:val="left"/>
        <w:tblInd w:w="0" w:type="dxa"/>
        <w:tblLayout w:type="fixed"/>
        <w:tblCellMar>
          <w:top w:w="0" w:type="dxa"/>
          <w:left w:w="0" w:type="dxa"/>
          <w:bottom w:w="0" w:type="dxa"/>
          <w:right w:w="0" w:type="dxa"/>
        </w:tblCellMar>
      </w:tblPr>
      <w:tblGrid>
        <w:gridCol w:w="1081"/>
        <w:gridCol w:w="346"/>
        <w:gridCol w:w="211"/>
        <w:gridCol w:w="676"/>
        <w:gridCol w:w="346"/>
        <w:gridCol w:w="421"/>
        <w:gridCol w:w="361"/>
        <w:gridCol w:w="211"/>
        <w:gridCol w:w="676"/>
        <w:gridCol w:w="346"/>
        <w:gridCol w:w="421"/>
        <w:gridCol w:w="361"/>
        <w:gridCol w:w="211"/>
        <w:gridCol w:w="691"/>
        <w:gridCol w:w="346"/>
        <w:gridCol w:w="99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86435" cy="175260"/>
                      <wp:effectExtent l="0" t="0" r="0" b="0"/>
                      <wp:wrapNone/>
                      <wp:docPr id="238" name="Frame23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67335" cy="175260"/>
                      <wp:effectExtent l="0" t="0" r="0" b="0"/>
                      <wp:wrapNone/>
                      <wp:docPr id="243" name="Frame2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29235" cy="175260"/>
                      <wp:effectExtent l="0" t="0" r="0" b="0"/>
                      <wp:wrapNone/>
                      <wp:docPr id="244" name="Frame24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246" name="Frame2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19710" cy="175260"/>
                      <wp:effectExtent l="0" t="0" r="0" b="0"/>
                      <wp:wrapNone/>
                      <wp:docPr id="247"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67335" cy="175260"/>
                      <wp:effectExtent l="0" t="0" r="0" b="0"/>
                      <wp:wrapNone/>
                      <wp:docPr id="248" name="Frame24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29235" cy="175260"/>
                      <wp:effectExtent l="0" t="0" r="0" b="0"/>
                      <wp:wrapNone/>
                      <wp:docPr id="249" name="Frame2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8785" cy="175260"/>
                      <wp:effectExtent l="0" t="0" r="0" b="0"/>
                      <wp:wrapNone/>
                      <wp:docPr id="251" name="Frame2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29285" cy="175260"/>
                      <wp:effectExtent l="0" t="0" r="0" b="0"/>
                      <wp:wrapNone/>
                      <wp:docPr id="253" name="Frame2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0660" cy="175260"/>
                      <wp:effectExtent l="0" t="0" r="0" b="0"/>
                      <wp:wrapNone/>
                      <wp:docPr id="254" name="Frame2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69"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6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18,778</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16,901</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21,336</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24,166</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7,175</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2,436</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47,289</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45,806</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 in the Americas for the third quarter of fiscal year 2026 increased by 11%, compared to the corresponding period in fiscal year 2025, primarily due to increased shipments of Hurco 5-axis and larger, higher-performance vertical milling machines and increased shipments of Milltronics and Takumi toolroom lathes.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European sales for the third quarter of fiscal year 2026 decreased by 12%, compared to the corresponding period in fiscal year 2025, and included a favorable currency impact of less than 1%, when translating foreign sales to U.S. dollars for financial reporting purposes. The decrease in European sales was primarily attributable to a decreased volume of shipments of Hurco machines and electro-mechanical components and accessories manufactured by LCM, partially offset by an increased volume of shipments of Takumi vertical milling machines and increased sales of ProCobots automation solutions.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Asian Pacific sales for the third quarter of fiscal year 2026 increased by 51%, compared to the corresponding prior year period, and included an unfavorable currency impact of 3%, when translating foreign sales to U.S. dollars for financial reporting purposes. The increase in Asian Pacific sales was primarily due to increased shipments of Hurco vertical milling machines in China and Southeast Asia, as well as increased shipments of Takumi vertical milling machines and private labeled machine frames produced for third parties.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Service Fees by Product Category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sales and service fees by product group and services for the third fiscal quarter ended July 31, 2026 and 2025 (dollars in thousands):</w:t>
      </w:r>
    </w:p>
    <w:tbl>
      <w:tblPr>
        <w:tblW w:w="10205" w:type="dxa"/>
        <w:jc w:val="left"/>
        <w:tblInd w:w="0" w:type="dxa"/>
        <w:tblLayout w:type="fixed"/>
        <w:tblCellMar>
          <w:top w:w="0" w:type="dxa"/>
          <w:left w:w="0" w:type="dxa"/>
          <w:bottom w:w="0" w:type="dxa"/>
          <w:right w:w="0" w:type="dxa"/>
        </w:tblCellMar>
      </w:tblPr>
      <w:tblGrid>
        <w:gridCol w:w="3275"/>
        <w:gridCol w:w="346"/>
        <w:gridCol w:w="211"/>
        <w:gridCol w:w="676"/>
        <w:gridCol w:w="346"/>
        <w:gridCol w:w="421"/>
        <w:gridCol w:w="361"/>
        <w:gridCol w:w="211"/>
        <w:gridCol w:w="676"/>
        <w:gridCol w:w="346"/>
        <w:gridCol w:w="421"/>
        <w:gridCol w:w="361"/>
        <w:gridCol w:w="243"/>
        <w:gridCol w:w="658"/>
        <w:gridCol w:w="346"/>
        <w:gridCol w:w="991"/>
        <w:gridCol w:w="316"/>
      </w:tblGrid>
      <w:tr>
        <w:trPr/>
        <w:tc>
          <w:tcPr>
            <w:tcW w:w="3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9625" cy="175260"/>
                      <wp:effectExtent l="0" t="0" r="0" b="0"/>
                      <wp:wrapNone/>
                      <wp:docPr id="255" name="Frame255"/>
                      <a:graphic xmlns:a="http://schemas.openxmlformats.org/drawingml/2006/main">
                        <a:graphicData uri="http://schemas.microsoft.com/office/word/2010/wordprocessingShape">
                          <wps:wsp>
                            <wps:cNvSpPr txBox="1"/>
                            <wps:spPr>
                              <a:xfrm>
                                <a:off x="0" y="0"/>
                                <a:ext cx="2079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3985" cy="175260"/>
                      <wp:effectExtent l="0" t="0" r="0" b="0"/>
                      <wp:wrapNone/>
                      <wp:docPr id="257" name="Frame2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29260" cy="175260"/>
                      <wp:effectExtent l="0" t="0" r="0" b="0"/>
                      <wp:wrapNone/>
                      <wp:docPr id="258" name="Frame2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67335" cy="175260"/>
                      <wp:effectExtent l="0" t="0" r="0" b="0"/>
                      <wp:wrapNone/>
                      <wp:docPr id="260" name="Frame26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9235" cy="175260"/>
                      <wp:effectExtent l="0" t="0" r="0" b="0"/>
                      <wp:wrapNone/>
                      <wp:docPr id="261" name="Frame26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29260" cy="175260"/>
                      <wp:effectExtent l="0" t="0" r="0" b="0"/>
                      <wp:wrapNone/>
                      <wp:docPr id="263" name="Frame2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67335" cy="175260"/>
                      <wp:effectExtent l="0" t="0" r="0" b="0"/>
                      <wp:wrapNone/>
                      <wp:docPr id="265" name="Frame2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29235" cy="175260"/>
                      <wp:effectExtent l="0" t="0" r="0" b="0"/>
                      <wp:wrapNone/>
                      <wp:docPr id="266" name="Frame26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54305" cy="175260"/>
                      <wp:effectExtent l="0" t="0" r="0" b="0"/>
                      <wp:wrapNone/>
                      <wp:docPr id="267" name="Frame26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17830" cy="175260"/>
                      <wp:effectExtent l="0" t="0" r="0" b="0"/>
                      <wp:wrapNone/>
                      <wp:docPr id="268" name="Frame268"/>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29285" cy="175260"/>
                      <wp:effectExtent l="0" t="0" r="0" b="0"/>
                      <wp:wrapNone/>
                      <wp:docPr id="270" name="Frame27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0660" cy="175260"/>
                      <wp:effectExtent l="0" t="0" r="0" b="0"/>
                      <wp:wrapNone/>
                      <wp:docPr id="271" name="Frame2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68"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16" w:type="dxa"/>
            <w:tcBorders/>
            <w:vAlign w:val="center"/>
          </w:tcPr>
          <w:p>
            <w:pPr>
              <w:pStyle w:val="TableContents"/>
              <w:bidi w:val="0"/>
              <w:spacing w:before="0" w:after="0"/>
              <w:ind w:left="0" w:right="0" w:hanging="0"/>
              <w:jc w:val="left"/>
              <w:rPr/>
            </w:pPr>
            <w:r>
              <w:rPr/>
              <w:t>​</w:t>
            </w:r>
          </w:p>
        </w:tc>
      </w:tr>
      <w:tr>
        <w:trPr/>
        <w:tc>
          <w:tcPr>
            <w:tcW w:w="32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6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32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Computerized Machine Tools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38,008</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36,889</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Computer Control Systems and Software </w:t>
            </w:r>
            <w:r>
              <w:rPr>
                <w:rFonts w:ascii="Times New Roman;Times;serif" w:hAnsi="Times New Roman;Times;serif"/>
                <w:color w:val="5E6A71"/>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Parts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Fees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45,806</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40" w:before="0" w:after="0"/>
        <w:ind w:left="0" w:right="0" w:hanging="0"/>
        <w:jc w:val="left"/>
        <w:rPr/>
      </w:pPr>
      <w:r>
        <w:rPr/>
        <w:t>† </w:t>
      </w:r>
      <w:r>
        <w:rPr>
          <w:rFonts w:ascii="Times New Roman;Times;serif" w:hAnsi="Times New Roman;Times;serif"/>
          <w:sz w:val="18"/>
        </w:rPr>
        <w:t>Amounts shown do not include computer control systems and software sold as an integrated component of computerized machine tools.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computerized machine tools for the third quarter of fiscal year 2026 increased by 3%, compared to the corresponding prior year period, primarily due to increased shipments of Hurco and Takumi machines in the Americas and Asia Pacific, as well as increased shipments of private labeled machine frames produced for third parties in Asia Pacific. Sales of service parts increased by 6% compared to the corresponding prior year period, primarily due to increases in sales of aftermarket service parts in Europe and Asia Pacific. Sales for all product lines included an unfavorable currency impact of less than 1%, when translating foreign sales to U.S. dollars for financial reporting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Orders.</w:t>
      </w:r>
      <w:r>
        <w:rPr>
          <w:rFonts w:ascii="Times New Roman;Times;serif" w:hAnsi="Times New Roman;Times;serif"/>
          <w:sz w:val="20"/>
        </w:rPr>
        <w:t xml:space="preserve"> Orders for the third quarter of fiscal year 2026 were $51.4 million, an increase of $10.4 million, or 25%, compared to the corresponding period in fiscal year 2025, and included an unfavorable currency impact of $0.3 million, or less than 1%, when translating foreign orders to U.S. dollars.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new orders booked by geographic region for the third fiscal quarter ended July 31, 2026 and 2025 (dollars in thousands):</w:t>
      </w:r>
    </w:p>
    <w:p>
      <w:pPr>
        <w:pStyle w:val="TextBody"/>
        <w:bidi w:val="0"/>
        <w:spacing w:before="0" w:after="0"/>
        <w:ind w:left="0" w:right="0" w:hanging="0"/>
        <w:jc w:val="both"/>
        <w:rPr/>
      </w:pPr>
      <w:r>
        <w:rPr/>
        <w:t>​</w:t>
      </w:r>
    </w:p>
    <w:tbl>
      <w:tblPr>
        <w:tblW w:w="8011" w:type="dxa"/>
        <w:jc w:val="left"/>
        <w:tblInd w:w="0" w:type="dxa"/>
        <w:tblLayout w:type="fixed"/>
        <w:tblCellMar>
          <w:top w:w="0" w:type="dxa"/>
          <w:left w:w="0" w:type="dxa"/>
          <w:bottom w:w="0" w:type="dxa"/>
          <w:right w:w="0" w:type="dxa"/>
        </w:tblCellMar>
      </w:tblPr>
      <w:tblGrid>
        <w:gridCol w:w="1081"/>
        <w:gridCol w:w="346"/>
        <w:gridCol w:w="211"/>
        <w:gridCol w:w="676"/>
        <w:gridCol w:w="346"/>
        <w:gridCol w:w="421"/>
        <w:gridCol w:w="361"/>
        <w:gridCol w:w="211"/>
        <w:gridCol w:w="676"/>
        <w:gridCol w:w="346"/>
        <w:gridCol w:w="421"/>
        <w:gridCol w:w="361"/>
        <w:gridCol w:w="214"/>
        <w:gridCol w:w="687"/>
        <w:gridCol w:w="346"/>
        <w:gridCol w:w="99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86435" cy="175260"/>
                      <wp:effectExtent l="0" t="0" r="0" b="0"/>
                      <wp:wrapNone/>
                      <wp:docPr id="272" name="Frame27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260"/>
                      <wp:effectExtent l="0" t="0" r="0" b="0"/>
                      <wp:wrapNone/>
                      <wp:docPr id="275"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67335" cy="175260"/>
                      <wp:effectExtent l="0" t="0" r="0" b="0"/>
                      <wp:wrapNone/>
                      <wp:docPr id="277" name="Frame27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29235" cy="175260"/>
                      <wp:effectExtent l="0" t="0" r="0" b="0"/>
                      <wp:wrapNone/>
                      <wp:docPr id="278" name="Frame2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67335" cy="175260"/>
                      <wp:effectExtent l="0" t="0" r="0" b="0"/>
                      <wp:wrapNone/>
                      <wp:docPr id="282" name="Frame28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29235" cy="175260"/>
                      <wp:effectExtent l="0" t="0" r="0" b="0"/>
                      <wp:wrapNone/>
                      <wp:docPr id="283" name="Frame28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5890" cy="175260"/>
                      <wp:effectExtent l="0" t="0" r="0" b="0"/>
                      <wp:wrapNone/>
                      <wp:docPr id="284" name="Frame28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6245" cy="175260"/>
                      <wp:effectExtent l="0" t="0" r="0" b="0"/>
                      <wp:wrapNone/>
                      <wp:docPr id="285" name="Frame28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29285" cy="175260"/>
                      <wp:effectExtent l="0" t="0" r="0" b="0"/>
                      <wp:wrapNone/>
                      <wp:docPr id="287" name="Frame287"/>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8" name="Frame28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68"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6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 ​ ​</w:t>
            </w:r>
          </w:p>
        </w:tc>
        <w:tc>
          <w:tcPr>
            <w:tcW w:w="16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21,287</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15,557</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21,401</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8,680</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5,165</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51,368</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40,996</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10,372</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Orders in the Americas for the third quarter of fiscal year 2026 increased by 37%, compared to the corresponding period in fiscal year 2025, primarily due to increased demand for Hurco 5-axis and larger, higher-performance vertical milling machines, Takumi lathes and vertical milling machines, as well as Milltronics toolroom lathes.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European orders for the third quarter of fiscal year 2026 increased by 6%, compared to the corresponding prior year period, and included a favorable currency impact of less than 1%, when translating foreign orders to U.S. dollars. The increase in orders was driven primarily by increased customer demand for Hurco higher-performance vertical milling machines in the United Kingdom and electro-mechanical components and accessories manufactured by LCM, partially offset by decreased customer demand for Hurco machines in Germany and France.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Asian Pacific orders for the third quarter of fiscal year 2026 increased by 68%, compared to the corresponding prior year period, and included an unfavorable currency impact of 7%, when translating foreign orders to U.S. dollars. The increase in orders was driven primarily by increased customer demand for Takumi machines and for private labeled machine frames produced for third parties, partially offset by decreased customer demand for Hurco machines in China.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Gross Profit. </w:t>
      </w:r>
      <w:r>
        <w:rPr>
          <w:rFonts w:ascii="Times New Roman;Times;serif" w:hAnsi="Times New Roman;Times;serif"/>
          <w:sz w:val="20"/>
        </w:rPr>
        <w:t>Gross profit for the third quarter of fiscal year 2026 was $13.2 million, or 28% of sales, compared to $9.1 million, or 20% of sales, for the corresponding prior year period. The increase in gross profit was attributable to an increased volume of machine sales and a greater mix of higher-performance machines sold, as well as price increases implemented in the first quarter of fiscal 2026 and tariff refund claims filed with the United States Customs and Border Protection.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Operating Expenses. </w:t>
      </w:r>
      <w:r>
        <w:rPr>
          <w:rFonts w:ascii="Times New Roman;Times;serif" w:hAnsi="Times New Roman;Times;serif"/>
          <w:sz w:val="20"/>
        </w:rPr>
        <w:t>Selling, general, and administrative expenses for the third quarter of fiscal year 2026 were $10.9 million, or 23% of sales, compared to $10.8 million, or 23% of sales, in the corresponding fiscal year 2025 period, and included an unfavorable currency impact of $0.1 million, when translating foreign expenses to U.S. dollars for financial reporting purposes. The increase in selling, general, and administrative expenses was primarily due to the unfavorable currency impact and increased global wages, sales commissions, and employee benefits.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Operating Income (Loss). </w:t>
      </w:r>
      <w:r>
        <w:rPr>
          <w:rFonts w:ascii="Times New Roman;Times;serif" w:hAnsi="Times New Roman;Times;serif"/>
          <w:sz w:val="20"/>
        </w:rPr>
        <w:t>Operating income for the third quarter of fiscal year 2026 was $2.3 million, compared to an operating loss of $1.7 million, for the corresponding period in fiscal year 2025. The improvement from operating loss to operating income was primarily attributable to an increased volume of machine sales and a greater mix of higher-performance machines sold, as well as price increases implemented in the first quarter of fiscal 2026 and tariff refund claims filed with the United States Customs and Border Protection.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Other Income (Expense), Net. </w:t>
      </w:r>
      <w:r>
        <w:rPr>
          <w:rFonts w:ascii="Times New Roman;Times;serif" w:hAnsi="Times New Roman;Times;serif"/>
          <w:sz w:val="20"/>
        </w:rPr>
        <w:t>Other income, net for the third quarter of fiscal year 2026 was $0.3 million compared to other expense, net of $1.5 million, for the corresponding period in fiscal year 2025.  The change was due mainly to a decrease in foreign currency exchange loss.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Income Taxes. </w:t>
      </w:r>
      <w:r>
        <w:rPr>
          <w:rFonts w:ascii="Times New Roman;Times;serif" w:hAnsi="Times New Roman;Times;serif"/>
          <w:sz w:val="20"/>
        </w:rPr>
        <w:t>Income tax expense for the third quarter of fiscal year 2026 was $0.4 million, compared to $0.6 million, for the corresponding prior year period. The reduction in income tax expense was primarily due to changes in geographic mix of income and loss that includes jurisdictions with differing tax rates.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Nine Months Ended July 31, 2026, Compared to Nine Months Ended July 31, 2025</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Sales and Service Fees.</w:t>
      </w:r>
      <w:r>
        <w:rPr>
          <w:rFonts w:ascii="Times New Roman;Times;serif" w:hAnsi="Times New Roman;Times;serif"/>
          <w:sz w:val="20"/>
        </w:rPr>
        <w:t xml:space="preserve"> Sales and service fees for the first nine months of fiscal year 2026 were $137.8 million, an increase of $4.7 million, or 4%, compared to the corresponding prior year period, and included a favorable currency impact of $3.1 million, or 2%, when translating foreign sales to U.S. dollars for financial reporting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Service Fees by Geographic Region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sales and service fees by geographic region for the nine months ended July 31, 2026 and 2025 (dollars in thousands):</w:t>
      </w:r>
    </w:p>
    <w:tbl>
      <w:tblPr>
        <w:tblW w:w="8222" w:type="dxa"/>
        <w:jc w:val="left"/>
        <w:tblInd w:w="0" w:type="dxa"/>
        <w:tblLayout w:type="fixed"/>
        <w:tblCellMar>
          <w:top w:w="0" w:type="dxa"/>
          <w:left w:w="0" w:type="dxa"/>
          <w:bottom w:w="0" w:type="dxa"/>
          <w:right w:w="0" w:type="dxa"/>
        </w:tblCellMar>
      </w:tblPr>
      <w:tblGrid>
        <w:gridCol w:w="1081"/>
        <w:gridCol w:w="346"/>
        <w:gridCol w:w="211"/>
        <w:gridCol w:w="781"/>
        <w:gridCol w:w="346"/>
        <w:gridCol w:w="421"/>
        <w:gridCol w:w="361"/>
        <w:gridCol w:w="211"/>
        <w:gridCol w:w="781"/>
        <w:gridCol w:w="346"/>
        <w:gridCol w:w="421"/>
        <w:gridCol w:w="361"/>
        <w:gridCol w:w="211"/>
        <w:gridCol w:w="691"/>
        <w:gridCol w:w="346"/>
        <w:gridCol w:w="99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86435" cy="175260"/>
                      <wp:effectExtent l="0" t="0" r="0" b="0"/>
                      <wp:wrapNone/>
                      <wp:docPr id="289" name="Frame28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5935" cy="175260"/>
                      <wp:effectExtent l="0" t="0" r="0" b="0"/>
                      <wp:wrapNone/>
                      <wp:docPr id="292" name="Frame2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67335" cy="175260"/>
                      <wp:effectExtent l="0" t="0" r="0" b="0"/>
                      <wp:wrapNone/>
                      <wp:docPr id="294" name="Frame29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29235" cy="175260"/>
                      <wp:effectExtent l="0" t="0" r="0" b="0"/>
                      <wp:wrapNone/>
                      <wp:docPr id="295" name="Frame2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95935" cy="175260"/>
                      <wp:effectExtent l="0" t="0" r="0" b="0"/>
                      <wp:wrapNone/>
                      <wp:docPr id="297" name="Frame2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67335" cy="175260"/>
                      <wp:effectExtent l="0" t="0" r="0" b="0"/>
                      <wp:wrapNone/>
                      <wp:docPr id="299" name="Frame29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9235" cy="175260"/>
                      <wp:effectExtent l="0" t="0" r="0" b="0"/>
                      <wp:wrapNone/>
                      <wp:docPr id="300" name="Frame3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38785" cy="175260"/>
                      <wp:effectExtent l="0" t="0" r="0" b="0"/>
                      <wp:wrapNone/>
                      <wp:docPr id="302" name="Frame3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29285" cy="175260"/>
                      <wp:effectExtent l="0" t="0" r="0" b="0"/>
                      <wp:wrapNone/>
                      <wp:docPr id="304" name="Frame30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0660" cy="175260"/>
                      <wp:effectExtent l="0" t="0" r="0" b="0"/>
                      <wp:wrapNone/>
                      <wp:docPr id="305" name="Frame3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479"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7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7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 ​ ​</w:t>
            </w:r>
          </w:p>
        </w:tc>
        <w:tc>
          <w:tcPr>
            <w:tcW w:w="17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56,174</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50,370</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61,697</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67,388</w:t>
            </w:r>
          </w:p>
        </w:tc>
        <w:tc>
          <w:tcPr>
            <w:tcW w:w="3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(5,691)</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19,904</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15,329</w:t>
            </w:r>
          </w:p>
        </w:tc>
        <w:tc>
          <w:tcPr>
            <w:tcW w:w="34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137,775</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133,087</w:t>
            </w:r>
          </w:p>
        </w:tc>
        <w:tc>
          <w:tcPr>
            <w:tcW w:w="34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in the Americas for the first nine months of fiscal year 2026 increased by 12%, compared to the corresponding period in fiscal year 2025, primarily due to increased shipments of Hurco 5-axis machines and larger, higher-performance vertical milling machines, increased shipments of Takumi lathes and vertical milling machines, and increased shipments of Milltronics toolroom lathes.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European sales for the first nine months of fiscal year 2026 decreased by 8%, compared to the corresponding period in fiscal year 2025, and included a favorable currency impact of 5%, when translating foreign sales to U.S. dollars for financial reporting purposes. The decrease in European sales was primarily attributable to a decreased volume of shipments of Hurco machines and electro-mechanical components and accessories manufactured by LCM, partially offset by an increased volume of shipments of Takumi vertical milling machines and increased sales of ProCobots automation solutions.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Asian Pacific sales for the first nine months of fiscal year 2026 increased by 30%, compared to the corresponding prior year period, and included an unfavorable currency impact of less than 1%, when translating foreign sales to U.S. dollars for financial reporting purposes. The increase in Asian Pacific sales was primarily due to increased shipments of Hurco vertical milling machines in China and Southeast Asia, as well as increased shipment of Takumi vertical milling machines and private labeled machine frames produced for third parties.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Service Fees by Product Category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sales and service fees by product group and services for the nine months ended July 31, 2026 and 2025 (dollars in thousands):</w:t>
      </w:r>
    </w:p>
    <w:tbl>
      <w:tblPr>
        <w:tblW w:w="10205" w:type="dxa"/>
        <w:jc w:val="left"/>
        <w:tblInd w:w="0" w:type="dxa"/>
        <w:tblLayout w:type="fixed"/>
        <w:tblCellMar>
          <w:top w:w="0" w:type="dxa"/>
          <w:left w:w="0" w:type="dxa"/>
          <w:bottom w:w="0" w:type="dxa"/>
          <w:right w:w="0" w:type="dxa"/>
        </w:tblCellMar>
      </w:tblPr>
      <w:tblGrid>
        <w:gridCol w:w="3245"/>
        <w:gridCol w:w="346"/>
        <w:gridCol w:w="211"/>
        <w:gridCol w:w="781"/>
        <w:gridCol w:w="286"/>
        <w:gridCol w:w="421"/>
        <w:gridCol w:w="361"/>
        <w:gridCol w:w="211"/>
        <w:gridCol w:w="781"/>
        <w:gridCol w:w="286"/>
        <w:gridCol w:w="421"/>
        <w:gridCol w:w="361"/>
        <w:gridCol w:w="243"/>
        <w:gridCol w:w="658"/>
        <w:gridCol w:w="286"/>
        <w:gridCol w:w="991"/>
        <w:gridCol w:w="316"/>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60575" cy="175260"/>
                      <wp:effectExtent l="0" t="0" r="0" b="0"/>
                      <wp:wrapNone/>
                      <wp:docPr id="306" name="Frame30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95935" cy="175260"/>
                      <wp:effectExtent l="0" t="0" r="0" b="0"/>
                      <wp:wrapNone/>
                      <wp:docPr id="309" name="Frame3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1610" cy="175260"/>
                      <wp:effectExtent l="0" t="0" r="0" b="0"/>
                      <wp:wrapNone/>
                      <wp:docPr id="310" name="Frame31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67335" cy="175260"/>
                      <wp:effectExtent l="0" t="0" r="0" b="0"/>
                      <wp:wrapNone/>
                      <wp:docPr id="311" name="Frame31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9235" cy="175260"/>
                      <wp:effectExtent l="0" t="0" r="0" b="0"/>
                      <wp:wrapNone/>
                      <wp:docPr id="312" name="Frame31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3"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95935" cy="175260"/>
                      <wp:effectExtent l="0" t="0" r="0" b="0"/>
                      <wp:wrapNone/>
                      <wp:docPr id="314" name="Frame3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81610" cy="175260"/>
                      <wp:effectExtent l="0" t="0" r="0" b="0"/>
                      <wp:wrapNone/>
                      <wp:docPr id="315" name="Frame3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67335" cy="175260"/>
                      <wp:effectExtent l="0" t="0" r="0" b="0"/>
                      <wp:wrapNone/>
                      <wp:docPr id="316" name="Frame31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29235" cy="175260"/>
                      <wp:effectExtent l="0" t="0" r="0" b="0"/>
                      <wp:wrapNone/>
                      <wp:docPr id="317" name="Frame3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54305" cy="175260"/>
                      <wp:effectExtent l="0" t="0" r="0" b="0"/>
                      <wp:wrapNone/>
                      <wp:docPr id="318" name="Frame31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17830" cy="175260"/>
                      <wp:effectExtent l="0" t="0" r="0" b="0"/>
                      <wp:wrapNone/>
                      <wp:docPr id="319" name="Frame319"/>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81610" cy="175260"/>
                      <wp:effectExtent l="0" t="0" r="0" b="0"/>
                      <wp:wrapNone/>
                      <wp:docPr id="320" name="Frame3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29285" cy="175260"/>
                      <wp:effectExtent l="0" t="0" r="0" b="0"/>
                      <wp:wrapNone/>
                      <wp:docPr id="321" name="Frame32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0660" cy="175260"/>
                      <wp:effectExtent l="0" t="0" r="0" b="0"/>
                      <wp:wrapNone/>
                      <wp:docPr id="322" name="Frame32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298"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16"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9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 ​</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286" w:type="dxa"/>
            <w:tcBorders/>
            <w:vAlign w:val="center"/>
          </w:tcPr>
          <w:p>
            <w:pPr>
              <w:pStyle w:val="TableContents"/>
              <w:bidi w:val="0"/>
              <w:spacing w:before="0" w:after="0"/>
              <w:ind w:left="0" w:right="0" w:hanging="0"/>
              <w:jc w:val="left"/>
              <w:rPr/>
            </w:pPr>
            <w:r>
              <w:rPr/>
              <w:t>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Computerized Machine Tools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110,094</w:t>
            </w:r>
          </w:p>
        </w:tc>
        <w:tc>
          <w:tcPr>
            <w:tcW w:w="286" w:type="dxa"/>
            <w:tcBorders/>
            <w:shd w:fill="CCEEFF" w:val="clear"/>
            <w:vAlign w:val="center"/>
          </w:tcPr>
          <w:p>
            <w:pPr>
              <w:pStyle w:val="TableContents"/>
              <w:bidi w:val="0"/>
              <w:spacing w:before="0" w:after="0"/>
              <w:ind w:left="0" w:right="0" w:hanging="0"/>
              <w:jc w:val="left"/>
              <w:rPr/>
            </w:pPr>
            <w:r>
              <w:rPr/>
              <w:t>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106,347</w:t>
            </w:r>
          </w:p>
        </w:tc>
        <w:tc>
          <w:tcPr>
            <w:tcW w:w="286" w:type="dxa"/>
            <w:tcBorders/>
            <w:shd w:fill="CCEEFF" w:val="clear"/>
            <w:vAlign w:val="center"/>
          </w:tcPr>
          <w:p>
            <w:pPr>
              <w:pStyle w:val="TableContents"/>
              <w:bidi w:val="0"/>
              <w:spacing w:before="0" w:after="0"/>
              <w:ind w:left="0" w:right="0" w:hanging="0"/>
              <w:jc w:val="left"/>
              <w:rPr/>
            </w:pPr>
            <w:r>
              <w:rPr/>
              <w:t>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c>
          <w:tcPr>
            <w:tcW w:w="28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Computer Control Systems and Software </w:t>
            </w:r>
            <w:r>
              <w:rPr>
                <w:rFonts w:ascii="Times New Roman;Times;serif" w:hAnsi="Times New Roman;Times;serif"/>
                <w:color w:val="5E6A71"/>
                <w:sz w:val="20"/>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28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28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28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Parts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19,815</w:t>
            </w:r>
          </w:p>
        </w:tc>
        <w:tc>
          <w:tcPr>
            <w:tcW w:w="28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18,404</w:t>
            </w:r>
          </w:p>
        </w:tc>
        <w:tc>
          <w:tcPr>
            <w:tcW w:w="28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28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Fees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28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6,493</w:t>
            </w:r>
          </w:p>
        </w:tc>
        <w:tc>
          <w:tcPr>
            <w:tcW w:w="28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28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137,775</w:t>
            </w:r>
          </w:p>
        </w:tc>
        <w:tc>
          <w:tcPr>
            <w:tcW w:w="28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133,087</w:t>
            </w:r>
          </w:p>
        </w:tc>
        <w:tc>
          <w:tcPr>
            <w:tcW w:w="28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28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xml:space="preserve">† </w:t>
      </w:r>
      <w:r>
        <w:rPr>
          <w:rFonts w:ascii="Times New Roman;Times;serif" w:hAnsi="Times New Roman;Times;serif"/>
          <w:sz w:val="20"/>
        </w:rPr>
        <w:t>Amounts shown do not include computer control systems and software sold as an integrated component of computerized machine tools.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computerized machine tools for the first nine months of fiscal year 2026 increased by 4%, compared to the corresponding prior year period, primarily due to increased shipments of Hurco and Takumi machines in the Americas and Asia Pacific, as well as increased shipment of private labeled machine frames produced for third parties in Asia Pacific. Sales of computer control systems and software for the first nine months of fiscal year 2026 decreased by 19%, compared to the corresponding prior year period, due mainly to decreased software sales in the Americas. Sales of service parts for the first nine months of fiscal year 2026 increased by 8%, compared to the corresponding prior year period, primarily due to increases in sales of aftermarket service parts for Hurco and Takumi products in the United Kingdom, Germany, and Asia Pacific. Service fees for the first nine months of fiscal year 2026 decreased by 2%, compared to the corresponding prior year period, primarily due to decreased aftermarket service fees in the Americas. Sales for all product lines included a favorable currency impact of 2%, when translating foreign sales to U.S. dollars for financial reporting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Orders</w:t>
      </w:r>
      <w:r>
        <w:rPr>
          <w:rFonts w:ascii="Times New Roman;Times;serif" w:hAnsi="Times New Roman;Times;serif"/>
          <w:sz w:val="20"/>
        </w:rPr>
        <w:t>. Orders for the first nine months of fiscal year 2026 were $155.0 million, an increase of $30.2 million, or 24%, compared to the corresponding period in fiscal year 2025, and included a favorable currency impact of $3.1 million, or 2%, when translating foreign orders to U.S. dollars.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new orders booked by geographic region for the nine months ended July 31, 2026, and 2025 (dollars in thousands):</w:t>
      </w:r>
    </w:p>
    <w:p>
      <w:pPr>
        <w:pStyle w:val="TextBody"/>
        <w:bidi w:val="0"/>
        <w:spacing w:before="0" w:after="0"/>
        <w:ind w:left="0" w:right="0" w:hanging="0"/>
        <w:jc w:val="both"/>
        <w:rPr/>
      </w:pPr>
      <w:r>
        <w:rPr/>
        <w:t>​</w:t>
      </w:r>
    </w:p>
    <w:tbl>
      <w:tblPr>
        <w:tblW w:w="7741" w:type="dxa"/>
        <w:jc w:val="left"/>
        <w:tblInd w:w="0" w:type="dxa"/>
        <w:tblLayout w:type="fixed"/>
        <w:tblCellMar>
          <w:top w:w="0" w:type="dxa"/>
          <w:left w:w="0" w:type="dxa"/>
          <w:bottom w:w="0" w:type="dxa"/>
          <w:right w:w="0" w:type="dxa"/>
        </w:tblCellMar>
      </w:tblPr>
      <w:tblGrid>
        <w:gridCol w:w="1081"/>
        <w:gridCol w:w="226"/>
        <w:gridCol w:w="211"/>
        <w:gridCol w:w="781"/>
        <w:gridCol w:w="226"/>
        <w:gridCol w:w="421"/>
        <w:gridCol w:w="361"/>
        <w:gridCol w:w="211"/>
        <w:gridCol w:w="781"/>
        <w:gridCol w:w="226"/>
        <w:gridCol w:w="421"/>
        <w:gridCol w:w="361"/>
        <w:gridCol w:w="214"/>
        <w:gridCol w:w="687"/>
        <w:gridCol w:w="226"/>
        <w:gridCol w:w="991"/>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86435" cy="175260"/>
                      <wp:effectExtent l="0" t="0" r="0" b="0"/>
                      <wp:wrapNone/>
                      <wp:docPr id="323" name="Frame3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3510" cy="175260"/>
                      <wp:effectExtent l="0" t="0" r="0" b="0"/>
                      <wp:wrapNone/>
                      <wp:docPr id="324" name="Frame3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26"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43510" cy="175260"/>
                      <wp:effectExtent l="0" t="0" r="0" b="0"/>
                      <wp:wrapNone/>
                      <wp:docPr id="327" name="Frame32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67335" cy="175260"/>
                      <wp:effectExtent l="0" t="0" r="0" b="0"/>
                      <wp:wrapNone/>
                      <wp:docPr id="328" name="Frame32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29235" cy="175260"/>
                      <wp:effectExtent l="0" t="0" r="0" b="0"/>
                      <wp:wrapNone/>
                      <wp:docPr id="329" name="Frame3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43510" cy="175260"/>
                      <wp:effectExtent l="0" t="0" r="0" b="0"/>
                      <wp:wrapNone/>
                      <wp:docPr id="332" name="Frame3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67335" cy="175260"/>
                      <wp:effectExtent l="0" t="0" r="0" b="0"/>
                      <wp:wrapNone/>
                      <wp:docPr id="333" name="Frame3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29235" cy="175260"/>
                      <wp:effectExtent l="0" t="0" r="0" b="0"/>
                      <wp:wrapNone/>
                      <wp:docPr id="334" name="Frame33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5890" cy="175260"/>
                      <wp:effectExtent l="0" t="0" r="0" b="0"/>
                      <wp:wrapNone/>
                      <wp:docPr id="335" name="Frame33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436245" cy="175260"/>
                      <wp:effectExtent l="0" t="0" r="0" b="0"/>
                      <wp:wrapNone/>
                      <wp:docPr id="336" name="Frame336"/>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3510" cy="175260"/>
                      <wp:effectExtent l="0" t="0" r="0" b="0"/>
                      <wp:wrapNone/>
                      <wp:docPr id="337" name="Frame33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29285" cy="175260"/>
                      <wp:effectExtent l="0" t="0" r="0" b="0"/>
                      <wp:wrapNone/>
                      <wp:docPr id="338" name="Frame33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0660" cy="175260"/>
                      <wp:effectExtent l="0" t="0" r="0" b="0"/>
                      <wp:wrapNone/>
                      <wp:docPr id="339" name="Frame3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18" w:type="dxa"/>
            <w:gridSpan w:val="14"/>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11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16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61" w:type="dxa"/>
            <w:tcBorders/>
            <w:vAlign w:val="center"/>
          </w:tcPr>
          <w:p>
            <w:pPr>
              <w:pStyle w:val="TableContents"/>
              <w:bidi w:val="0"/>
              <w:spacing w:before="0" w:after="0"/>
              <w:ind w:left="0" w:right="0" w:hanging="0"/>
              <w:jc w:val="left"/>
              <w:rPr/>
            </w:pPr>
            <w:r>
              <w:rPr/>
              <w:t>  ​</w:t>
            </w:r>
          </w:p>
        </w:tc>
        <w:tc>
          <w:tcPr>
            <w:tcW w:w="16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61"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2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316"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66,140</w:t>
            </w:r>
          </w:p>
        </w:tc>
        <w:tc>
          <w:tcPr>
            <w:tcW w:w="2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47,145</w:t>
            </w:r>
          </w:p>
        </w:tc>
        <w:tc>
          <w:tcPr>
            <w:tcW w:w="2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18,995</w:t>
            </w:r>
          </w:p>
        </w:tc>
        <w:tc>
          <w:tcPr>
            <w:tcW w:w="2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2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65,028</w:t>
            </w:r>
          </w:p>
        </w:tc>
        <w:tc>
          <w:tcPr>
            <w:tcW w:w="2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60,730</w:t>
            </w:r>
          </w:p>
        </w:tc>
        <w:tc>
          <w:tcPr>
            <w:tcW w:w="2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4,298</w:t>
            </w:r>
          </w:p>
        </w:tc>
        <w:tc>
          <w:tcPr>
            <w:tcW w:w="2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2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23,827</w:t>
            </w:r>
          </w:p>
        </w:tc>
        <w:tc>
          <w:tcPr>
            <w:tcW w:w="2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16,906</w:t>
            </w:r>
          </w:p>
        </w:tc>
        <w:tc>
          <w:tcPr>
            <w:tcW w:w="226" w:type="dxa"/>
            <w:tcBorders/>
            <w:shd w:fill="CCEEFF" w:val="cle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6,921</w:t>
            </w:r>
          </w:p>
        </w:tc>
        <w:tc>
          <w:tcPr>
            <w:tcW w:w="22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154,995</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124,781</w:t>
            </w:r>
          </w:p>
        </w:tc>
        <w:tc>
          <w:tcPr>
            <w:tcW w:w="2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30,214</w:t>
            </w:r>
          </w:p>
        </w:tc>
        <w:tc>
          <w:tcPr>
            <w:tcW w:w="2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 xml:space="preserve">Orders in the Americas for the first nine months of fiscal year 2026 increased by 40%, compared to the corresponding period in fiscal year 2025, primarily due to increased demand for Hurco 5-axis and larger, higher-performance vertical milling machines, Takumi lathes and vertical milling machines, as well as Milltronics toolroom lathes. </w:t>
      </w:r>
    </w:p>
    <w:p>
      <w:pPr>
        <w:pStyle w:val="TextBody"/>
        <w:bidi w:val="0"/>
        <w:spacing w:lineRule="auto" w:line="304" w:before="0" w:after="0"/>
        <w:ind w:left="0" w:right="0" w:hanging="0"/>
        <w:jc w:val="both"/>
        <w:rPr/>
      </w:pPr>
      <w:r>
        <w:rPr/>
        <w:t>​</w:t>
      </w:r>
    </w:p>
    <w:p>
      <w:pPr>
        <w:pStyle w:val="TextBody"/>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European orders for the first nine months of fiscal year 2026 increased by 7%, compared to the corresponding prior year period, and included a favorable currency impact of 5%, when translating foreign orders to U.S. dollars. The increase in orders was driven primarily by increased customer demand for Hurco higher-performance vertical milling machines in the United Kingdom and electro-mechanical components and accessories manufactured by LCM, partially offset by decreased customer demand for Hurco machines in Germany and France.</w:t>
      </w:r>
    </w:p>
    <w:p>
      <w:pPr>
        <w:pStyle w:val="TextBody"/>
        <w:bidi w:val="0"/>
        <w:spacing w:lineRule="auto" w:line="304" w:before="0" w:after="0"/>
        <w:ind w:left="0" w:right="0" w:hanging="0"/>
        <w:jc w:val="both"/>
        <w:rPr/>
      </w:pPr>
      <w:r>
        <w:rPr/>
        <w:t>​</w:t>
      </w:r>
    </w:p>
    <w:p>
      <w:pPr>
        <w:pStyle w:val="TextBody"/>
        <w:bidi w:val="0"/>
        <w:spacing w:lineRule="auto" w:line="302" w:before="0" w:after="0"/>
        <w:ind w:left="0" w:right="0" w:hanging="0"/>
        <w:jc w:val="both"/>
        <w:rPr>
          <w:rFonts w:ascii="Times New Roman;Times;serif" w:hAnsi="Times New Roman;Times;serif"/>
          <w:sz w:val="20"/>
        </w:rPr>
      </w:pPr>
      <w:r>
        <w:rPr>
          <w:rFonts w:ascii="Times New Roman;Times;serif" w:hAnsi="Times New Roman;Times;serif"/>
          <w:sz w:val="20"/>
        </w:rPr>
        <w:t>Asian Pacific orders for the first nine months of fiscal year 2026 increased by 41%, compared to the corresponding prior year period, and included an unfavorable currency impact of 1%, when translating foreign orders to U.S. dollars. The increase in Asian Pacific orders was driven primarily by increased customer demand for Takumi machines and for private labeled machine frames produced for third parties, partially offset by decreased customer demand for Hurco machines in China.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Gross Profit</w:t>
      </w:r>
      <w:r>
        <w:rPr>
          <w:rFonts w:ascii="Times New Roman;Times;serif" w:hAnsi="Times New Roman;Times;serif"/>
          <w:sz w:val="20"/>
        </w:rPr>
        <w:t>. Gross profit for the first nine months of fiscal year 2026 was $31.5 million, or 23% of sales, compared to $25.2 million, or 19% of sales, for the corresponding prior year period. Most of the increase in gross profit was attributable to an increased volume of machine sales and a greater mix of higher-performance machines sold, as well as price increases implemented in the first quarter of fiscal 2026.  Additionally, a smaller portion of the gross profit improvement included tariff refund claims filed with the United States Customs and Border Protection.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Operating Expenses</w:t>
      </w:r>
      <w:r>
        <w:rPr>
          <w:rFonts w:ascii="Times New Roman;Times;serif" w:hAnsi="Times New Roman;Times;serif"/>
          <w:sz w:val="20"/>
        </w:rPr>
        <w:t>. Selling, general, and administrative expenses for the first nine months of fiscal year 2026 were $33.1 million, or 24% of sales, compared to $32.0 million, or 24% of sales, in the corresponding fiscal year 2025 period, and included an unfavorable currency impact of $0.8 million, when translating foreign expenses to U.S. dollars for financial reporting purposes. The increase was primarily due to the unfavorable impact of currency translation and increased global wages, sales commissions, and employee benefits.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Operating Income (Loss)</w:t>
      </w:r>
      <w:r>
        <w:rPr>
          <w:rFonts w:ascii="Times New Roman;Times;serif" w:hAnsi="Times New Roman;Times;serif"/>
          <w:sz w:val="20"/>
        </w:rPr>
        <w:t>. Operating loss for the first nine months of fiscal year 2026 was $1.7 million, compared to $6.8 million for the corresponding period in fiscal year 2025. The year-over-year decrease in operating loss was primarily due to an increased volume of machine sales and a greater mix of higher-performance machine sales, as well as price increases implemented in the first quarter of fiscal 2026 and tariff refund claims filed with the United States Customs and Border Protection.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expense, net for the first nine months of fiscal year 2026 decreased to $0.5 million from $2.5 million for the corresponding period in fiscal year 2025, due mainly to a decrease in foreign currency exchange loss.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Income tax expense for the first nine months of fiscal year 2026 was $1.7 million, compared to $3.1 million for the corresponding prior year period. The year-over-year decrease in income tax expense was primarily due to a $1.2 million valuation allowance recorded during the first quarter of 2025 on our Italian deferred tax assets and changes in geographic mix of income and loss that include jurisdictions with differing tax rates. A full valuation allowance has been recorded against our Italian, U.S., and Chinese deferred tax assets as of July 31, 2026, based on our conclusion that the deferred tax assets were not more likely than not to be realized under generally accepted accounting principles.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July 31, 2026, we had cash and cash equivalents of $52.1 million, compared to $48.7 million at October 31, 2025. Approximately 18% of the $52.1 million of cash and cash equivalents was denominated in U.S. dollars. The balance was attributable to our foreign operations and is held in the local currencies of our various foreign entities, subject to fluctuations in currency exchange rates. We do not believe that the indefinite reinvestment of these funds offshore impairs our ability to meet our domestic working capital needs.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 was $166.7 million at July 31, 2026, compared to $173.1 million at October 31, 2025. The decrease in working capital was primarily driven by a decrease in inventories and an increase in accounts payable and customer deposits, partially offset by increases in cash and cash equivalents and prepaid and other assets.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Capital expenditures of $2.4 million during the first nine months of fiscal year 2026 were primarily for software development costs and capital improvements in existing facilities. We funded these expenditures with cash on hand. </w:t>
      </w:r>
    </w:p>
    <w:p>
      <w:pPr>
        <w:pStyle w:val="TextBody"/>
        <w:bidi w:val="0"/>
        <w:spacing w:before="0" w:after="0"/>
        <w:ind w:left="0" w:right="0" w:hanging="0"/>
        <w:jc w:val="both"/>
        <w:rPr/>
      </w:pPr>
      <w:r>
        <w:rPr/>
        <w:t>​</w:t>
      </w:r>
    </w:p>
    <w:p>
      <w:pPr>
        <w:pStyle w:val="TextBody"/>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On January 6, 2023, we announced approval of a share repurchase program in an aggregate amount of up to $25.0 million and later extended this program through November 10, 2026. Repurchases under the program may be made in the open market or through privately negotiated transactions from time to time, subject to applicable laws, regulations and contractual provisions. We did not repurchase any shares of our common stock during the first nine months of fiscal 2026. As of July 31, 2026, we had repurchased $5.3 million, or 259,620 common shares, under this program since inception, leaving $19.7 million available for future repurchases thereunder.</w:t>
      </w:r>
    </w:p>
    <w:p>
      <w:pPr>
        <w:pStyle w:val="TextBody"/>
        <w:bidi w:val="0"/>
        <w:spacing w:lineRule="auto" w:line="304"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June 14, 2024, we announced a suspension of our regular quarterly cash dividend as we seek to enhance our financial flexibility and improve our ability to manage market volatility while focusing on strengthening our balance sheet, reinvesting in our core business and research and development related to emerging technologies, and returning value to shareholders via the appropriate channels in both the near and long-term.  Future dividends are subject to approval of our Board of Directors and will depend upon many factors, including our results of operations, financial condition, capital requirements, regulatory and contractual restrictions, our business strategy, and other factors deemed relevant by our Board of Directors from time to time.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31, 2018, we and our subsidiary Hurco B.V. entered into a credit agreement with Bank of America, N.A., as the lender, which was subsequently amended on each of March 13, 2020, December 23, 2020, December 17, 2021, January 4, 2023, and December 19, 2023 (as amended, the “2018 Credit Agreement”). The 2018 Credit Agreement provided for an unsecured revolving credit and letter of credit facility in a maximum aggregate amount of $40.0 million. The 2018 Credit Agreement provided that the maximum amount of outstanding letters of credit at any one time could not exceed $10.0 million, the maximum amount of outstanding loans made to our subsidiary Hurco B.V. at any one time could not exceed $20.0 million, and the maximum amount of all outstanding loans denominated in alternative currencies at any one time could not exceed $20.0 million. The scheduled maturity date of the 2018 Credit Agreement was December 31, 2025, and on that date, the 2018 Credit Agreement terminated in accordance with its terms.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March 2019, our wholly-owned subsidiaries in Taiwan, HML, and China, NHML, closed on uncommitted revolving credit facilities with maximum aggregate amounts of 150 million New Taiwan Dollars and 32.5 million Chinese Yuan, respectively. As uncommitted facilities, both the Taiwan and China credit facilities were subject to review and termination by the respective underlying lending institution from time to time. On December 31, 2025, the 150 million New Taiwan Dollars Taiwan credit facility and the 32.5 million Chinese Yuan China credit facility terminated in accordance with their terms.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5, 2026, we entered into a credit agreement with Bank of America, N.A., as the lender (the “2026 Credit Agreement”). The 2026 Credit Agreement provides for a secured revolving credit and letter of credit facility in a maximum aggregate amount of $20.0 million. The 2026 Credit Agreement provides that the maximum amount of outstanding letters of credit at any one time may not exceed $10.0 million and the maximum amount of all outstanding loans denominated in alternative currencies at any one time may not exceed $20.0 million. Under the 2026 Credit Agreement, we are the borrower, and certain of our subsidiaries are guarantors. Our obligations under the 2026 Credit Agreement are secured by a security interest in substantially all of our personal property and substantially all of the personal property of each subsidiary guarantor. The scheduled maturity date of the 2026 Credit Agreement is December 31,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Borrowings under the 2026 Credit Agreement bear interest at floating rates based on, at our option, either (i) a rate based upon the SOFR, the Sterling Overnight Index Average Reference Rate, the Euro Interbank Offering Rate, or another alternative currency-based rate approved by the lender, depending on the term of the loan and the currency in which such loan is denominated, plus 2.50% per annum, or (ii) a base rate (which is the highest of (a) the federal funds rate plus 0.50%, (b) the prime rate or (c) the one month SOFR-based rate plus 1.00%), plus 1.50% per annum. Any outstanding letters of credit carry an annual rate of 2.50%.</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2026 Credit Agreement contains customary affirmative and negative covenants and events of default, including covenants (1) restricting us from making certain investments, loans, advances and acquisitions (but permitting us to make investments in subsidiaries of up to $10.0 million); (2) restricting us from making certain payments, including (a) cash dividends, except that we may pay cash dividends as long as immediately before and after giving effect to such payment, the sum of the unused amount of the commitments under the 2026 Credit Agreement plus our cash on hand is not less than $10.0 million, we are in pro forma compliance with the maximum consolidated leverage ratio covenant as described below, and we are not in default before and after giving effect to such dividend payments and (b) payments made to repurchase shares of our common stock, except that we may repurchase shares of our common stock as long as we are not in default before and after giving effect to such repurchases and the aggregate amount of payments made by us for all such repurchases during any fiscal year does not exceed $10.0 million; and (3) requiring that we maintain a maximum consolidated leverage ratio of total debt to EBITDA no greater than 2.00 to 1.00, with EBITDA defined as the greater of (i) consolidated EBITDA for the most recently completed measurement period and (ii) $1.00. We may use the proceeds from advances under the 2026 Credit Agreement for general corporate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maximum consolidated leverage ratio covenant effectively prohibits us from borrowing any amounts under the 2026 Credit Agreement when our consolidated EBITDA for the most recently completed measurement period is negative. As of the date of this report, the most recently completed measurement period was our twelve months ended July 31, 2026, during which our consolidated EBITDA was negative. In order to borrow in compliance with the maximum consolidated leverage ratio covenant set forth above, we are effectively prohibited from borrowing under the 2026 Credit Agreement until we have positive consolidated EBITDA for our most recently completed four fiscal quarters.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July 31, 2026, our credit facilities consisted of a €1.5 million revolving credit facility in Germany and the $20.0 million secured revolving credit and letter of credit facility.  We had no debt or borrowings outstanding under any of our credit facilities as of July 31, 2026.</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also have an international cash pooling strategy that generally provides access to available cash deposits and credit facilities when needed in the U.S., Europe, or Asia Pacific.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borrowed only $1.6 million during fiscal years 2015-2018 to fund start-up costs related to expansion in China and have not had any borrowings under any of our debt facilities at any other time over the last ten fiscal years, even during prolonged recessionary industry cycles. While we are currently in the process of evaluating a longer-term global credit solution, we believe our current cash on hand, expected cash flow from operations, and access to cash pooling provide adequate liquidity to fund our global operations over the next twelve months and beyond, and allow us to remain committed to our strategic plan of product innovation, acquisitions, targeted penetration of developing markets, and a balanced capital allocation program.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continue to receive and review information on businesses and assets for potential acquisition, including intellectual property assets that are available for purchase.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MD&amp;A is based upon our condensed consolidated financial statements, which have been prepared in accordance with U.S. Generally Accepted Accounting Principles. The preparation of financial statements in conformity with those accounting principles requires us to make judgments and estimates that affect the amounts reported in the condensed consolidated financial statements and accompanying notes. Those judgments and estimates have a significant effect on the condensed consolidated financial statements because they result primarily from the need to make estimates about the effects of matters that are inherently uncertain. Actual results could differ from those estimates. Our critical accounting estimates, which are described in our Annual Report on Form 10-K for the fiscal year ended October 31, 2025, are frequently evaluated as our judgment and estimates are based upon historical experience and on various other assumptions that we believe to be reasonable under the circumstances. During the first nine months of fiscal year 2026, there were no material changes to our critical accounting estimates as described in the MD&amp;A included in our Annual Report on Form 10-K for the year ended October 31,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related to our contractual obligations and commitments from the information provided in our Annual Report on Form 10-K for the fiscal year ended October 31,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OFF BALANCE SHEET ARRANGEMENTS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our subsidiaries guarantee third party payment obligations in connection with the sale of machines to customers that use financing. We follow FASB guidance for accounting for guarantees (codified in ASC 460). As of July 31, 2026, we had four outstanding third party payment guarantees totaling approximately $0.3 million. The terms of these guarantees are consistent with the underlying customer financing terms. Upon shipment of a machine, the customer assumes the risk of ownership. The customer does not obtain title, however, until the customer has paid for the machine. A retention of title clause allows us to recover the machine if the customer defaults on the financing. We accrue liabilities under these guarantees at fair value, which amounts are insignificant.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STATEMENT CONCERNING FORWARD-LOOKING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statements made in this report constitute “forward-looking statements” within the meaning of the Private Securities Litigation Reform Act of 1995. Forward-looking statements are subject to known and unknown risks, uncertainties and other factors that may cause our actual results, performance or achievements to be materially different from those expressed or implied by the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risks, uncertainties and other factors include, but are not limited to:</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cyclical nature of the machine tool industry;</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Uncertain economic conditions, which may adversely affect overall demand, in the Americas, Europe and Asia Pacific markets;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risks of our international operations;</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pPr>
            <w:r>
              <w:rPr/>
              <w:t>•</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Governmental actions, initiatives and regulations, including import and export restrictions, duties and tariffs, including an inability to receive any refunds of tariffs paid in previous periods, and changes to tax laws;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effects of changes in currency exchange rates;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Competition with larger companies that have greater financial resources;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dependence on new product development;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need and/or ability to protect our intellectual property assets;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limited number of our manufacturing and supply chain sources;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Increases in the prices of raw materials, especially steel and iron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effect of the loss of members of senior management and key personnel;</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integrate acquisitions;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Acquisitions that could disrupt our operations and affect operating results;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Failure to comply with data privacy and security regulations;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Breaches of our network and system security measures;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Possible obsolescence of our technology and the need to make technological advances;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Impairment of our assets;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Negative or unforeseen tax consequences;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Uncertainty concerning our ability to use tax loss carryforwards;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Changes in the SOFR rate; and</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both"/>
              <w:rPr/>
            </w:pPr>
            <w:r>
              <w:rPr/>
              <w:t>•</w:t>
            </w:r>
          </w:p>
        </w:tc>
        <w:tc>
          <w:tcPr>
            <w:tcW w:w="99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impact of public health epidemics and pandemics on the global economy, our business and operations, our employees and the business, operations and economies of our customers and suppliers.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discuss these and other important risks and uncertainties that may affect our future operations in Part I, Item 1A – Risk Factors in our most recent Annual Report on Form 10K and may update that discussion in Part II, Item 1A – Risk Factors in this report or in a Quarterly Report on Form 10-Q we file hereafter.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Readers are cautioned not to place undue reliance on these forward-looking statements. While we believe the assumptions on which the forward-looking statements are based are reasonable, there can be no assurance that these forward-looking statements will prove to be accurate. We expressly disclaim any obligation to update or revise any forward-looking statements, whether as a result of new information, future events or otherwise. This cautionary statement is applicable to all forward-looking statements contained in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left"/>
        <w:rPr>
          <w:rFonts w:ascii="Times New Roman;Times;serif" w:hAnsi="Times New Roman;Times;serif"/>
          <w:sz w:val="20"/>
        </w:rPr>
      </w:pPr>
      <w:bookmarkStart w:id="1152" w:name="Item3QUANTITATIVEANDQUALITATIVEDISCLOSUR"/>
      <w:bookmarkStart w:id="1153" w:name="_6765802c_4d35_4ed2_ae2c_ce9d7c109d9c"/>
      <w:bookmarkEnd w:id="1152"/>
      <w:bookmarkEnd w:id="1153"/>
      <w:r>
        <w:rPr>
          <w:rFonts w:ascii="Times New Roman;Times;serif" w:hAnsi="Times New Roman;Times;serif"/>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Rate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on borrowings under our bank credit agreements are tied to prevailing domestic and foreign interest rates. At July 31, 2026, we had no borrowings outstanding under any of our credit facilities.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Foreign Currency Exchange Risk</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first nine months of fiscal year 2026, we derived approximately 59% of our revenues from customers located outside of the Americas, where we invoiced and received payments in several foreign currencies. All of our computerized machine tools and computer control systems, as well as certain proprietary service parts, are sourced by our U.S.-based engineering and manufacturing division and re-invoiced to our foreign sales and service subsidiaries, primarily in their functional currencies.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sourced from foreign suppliers or built to our specifications by either our wholly-owned subsidiaries in Taiwan, the U.S., and Italy, or an affiliated contract manufacturer in Taiwan. Our purchases are predominantly in foreign currencies and in some cases our arrangements with these suppliers include foreign currency risk sharing agreements, which reduce (but do not eliminate) the effects of currency fluctuations on product costs. The predominant portion of the exchange rate risk associated with our product purchases relates to the New Taiwan Dollar and the Euro.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enter into foreign currency forward exchange contracts from time to time to hedge the cash flow risk related to forecasted intercompany sales and purchases denominated in, or based on, foreign currencies (primarily the Euro, Pound Sterling, and New Taiwan Dollar). We also enter into foreign currency forward exchange contracts to protect against the effects of foreign currency fluctuations on intercompany prepayments, receivables, payables and loans denominated in foreign currencies. We do not speculate in the financial markets and, therefore, do not enter into these contracts for trading purposes.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Forward contracts for the sale or purchase of foreign currencies as of July 31, 2026, which are designated as cash flow hedges under FASB guidance related to accounting for derivative instruments and hedging activities, were as follows (in thousands, except weighted average forward rates):</w:t>
      </w:r>
    </w:p>
    <w:tbl>
      <w:tblPr>
        <w:tblW w:w="9251" w:type="dxa"/>
        <w:jc w:val="left"/>
        <w:tblInd w:w="0" w:type="dxa"/>
        <w:tblLayout w:type="fixed"/>
        <w:tblCellMar>
          <w:top w:w="0" w:type="dxa"/>
          <w:left w:w="0" w:type="dxa"/>
          <w:bottom w:w="0" w:type="dxa"/>
          <w:right w:w="0" w:type="dxa"/>
        </w:tblCellMar>
      </w:tblPr>
      <w:tblGrid>
        <w:gridCol w:w="1726"/>
        <w:gridCol w:w="346"/>
        <w:gridCol w:w="991"/>
        <w:gridCol w:w="346"/>
        <w:gridCol w:w="961"/>
        <w:gridCol w:w="346"/>
        <w:gridCol w:w="856"/>
        <w:gridCol w:w="346"/>
        <w:gridCol w:w="826"/>
        <w:gridCol w:w="346"/>
        <w:gridCol w:w="216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096010" cy="175260"/>
                      <wp:effectExtent l="0" t="0" r="0" b="0"/>
                      <wp:wrapNone/>
                      <wp:docPr id="340" name="Frame340"/>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29285" cy="175260"/>
                      <wp:effectExtent l="0" t="0" r="0" b="0"/>
                      <wp:wrapNone/>
                      <wp:docPr id="342" name="Frame3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19710" cy="175260"/>
                      <wp:effectExtent l="0" t="0" r="0" b="0"/>
                      <wp:wrapNone/>
                      <wp:docPr id="343" name="Frame3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10235" cy="175260"/>
                      <wp:effectExtent l="0" t="0" r="0" b="0"/>
                      <wp:wrapNone/>
                      <wp:docPr id="344" name="Frame34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43560" cy="175260"/>
                      <wp:effectExtent l="0" t="0" r="0" b="0"/>
                      <wp:wrapNone/>
                      <wp:docPr id="346" name="Frame346"/>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24510" cy="175260"/>
                      <wp:effectExtent l="0" t="0" r="0" b="0"/>
                      <wp:wrapNone/>
                      <wp:docPr id="348" name="Frame3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72235" cy="175260"/>
                      <wp:effectExtent l="0" t="0" r="0" b="0"/>
                      <wp:wrapNone/>
                      <wp:docPr id="350" name="Frame350"/>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Amount at</w:t>
            </w:r>
          </w:p>
        </w:tc>
        <w:tc>
          <w:tcPr>
            <w:tcW w:w="346"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 </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 Rates in </w:t>
            </w:r>
          </w:p>
        </w:tc>
        <w:tc>
          <w:tcPr>
            <w:tcW w:w="346"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Avg.</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w:t>
            </w:r>
          </w:p>
        </w:tc>
        <w:tc>
          <w:tcPr>
            <w:tcW w:w="346"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Foreign</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left"/>
              <w:rPr/>
            </w:pPr>
            <w:r>
              <w:rPr/>
              <w:t>​</w:t>
            </w:r>
          </w:p>
        </w:tc>
      </w:tr>
      <w:tr>
        <w:trPr/>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Contracts</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346" w:type="dxa"/>
            <w:tcBorders/>
            <w:vAlign w:val="center"/>
          </w:tcPr>
          <w:p>
            <w:pPr>
              <w:pStyle w:val="TableContents"/>
              <w:bidi w:val="0"/>
              <w:spacing w:before="0" w:after="0"/>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21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Dates</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right"/>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1.1723</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8,089</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7,996</w:t>
            </w:r>
          </w:p>
        </w:tc>
        <w:tc>
          <w:tcPr>
            <w:tcW w:w="34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July 2027</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Sterling</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34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1.3349</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7,342</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7,403</w:t>
            </w:r>
          </w:p>
        </w:tc>
        <w:tc>
          <w:tcPr>
            <w:tcW w:w="346" w:type="dxa"/>
            <w:tcBorders/>
            <w:shd w:fill="CCEEFF" w:val="clear"/>
            <w:vAlign w:val="center"/>
          </w:tcPr>
          <w:p>
            <w:pPr>
              <w:pStyle w:val="TableContents"/>
              <w:bidi w:val="0"/>
              <w:spacing w:before="0" w:after="0"/>
              <w:ind w:left="0" w:right="0" w:hanging="0"/>
              <w:jc w:val="left"/>
              <w:rPr/>
            </w:pPr>
            <w:r>
              <w:rPr/>
              <w:t>​</w:t>
            </w:r>
          </w:p>
        </w:tc>
        <w:tc>
          <w:tcPr>
            <w:tcW w:w="21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July 2027</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61" w:type="dxa"/>
            <w:tcBorders/>
            <w:shd w:fill="CCEEFF" w:val="clear"/>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Taiwan Dollar</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670,000</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31.0898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21,550</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20,742</w:t>
            </w:r>
          </w:p>
        </w:tc>
        <w:tc>
          <w:tcPr>
            <w:tcW w:w="346" w:type="dxa"/>
            <w:tcBorders/>
            <w:vAlign w:val="center"/>
          </w:tcPr>
          <w:p>
            <w:pPr>
              <w:pStyle w:val="TableContents"/>
              <w:bidi w:val="0"/>
              <w:spacing w:before="0" w:after="0"/>
              <w:ind w:left="0" w:right="0" w:hanging="0"/>
              <w:jc w:val="left"/>
              <w:rPr/>
            </w:pPr>
            <w:r>
              <w:rPr/>
              <w:t>​</w:t>
            </w:r>
          </w:p>
        </w:tc>
        <w:tc>
          <w:tcPr>
            <w:tcW w:w="21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July 2027</w:t>
            </w:r>
          </w:p>
        </w:tc>
      </w:tr>
    </w:tbl>
    <w:p>
      <w:pPr>
        <w:pStyle w:val="TextBody"/>
        <w:pBdr/>
        <w:bidi w:val="0"/>
        <w:spacing w:before="0" w:after="0"/>
        <w:ind w:left="0" w:right="0" w:hanging="360"/>
        <w:jc w:val="left"/>
        <w:rPr>
          <w:rFonts w:ascii="Times New Roman;Times;serif" w:hAnsi="Times New Roman;Times;serif"/>
          <w:sz w:val="18"/>
        </w:rPr>
      </w:pPr>
      <w:r>
        <w:rPr>
          <w:rFonts w:ascii="Times New Roman;Times;serif" w:hAnsi="Times New Roman;Times;serif"/>
          <w:sz w:val="18"/>
        </w:rPr>
        <w:t>* New Taiwan Dollars per U.S. dollar</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Forward contracts for the sale or purchase of foreign currencies as of July 31, 2026, which were entered into to protect against the effects of foreign currency fluctuations on intercompany prepayments, receivables, payables and loans denominated in foreign currencies and are not designated as hedges under FASB guidance, were as follows (in thousands, except weighted average forward rates):</w:t>
      </w:r>
    </w:p>
    <w:p>
      <w:pPr>
        <w:pStyle w:val="TextBody"/>
        <w:bidi w:val="0"/>
        <w:spacing w:before="0" w:after="0"/>
        <w:ind w:left="0" w:right="0" w:hanging="0"/>
        <w:jc w:val="both"/>
        <w:rPr/>
      </w:pPr>
      <w:r>
        <w:rPr/>
        <w:t>​</w:t>
      </w:r>
    </w:p>
    <w:tbl>
      <w:tblPr>
        <w:tblW w:w="9386" w:type="dxa"/>
        <w:jc w:val="left"/>
        <w:tblInd w:w="0" w:type="dxa"/>
        <w:tblLayout w:type="fixed"/>
        <w:tblCellMar>
          <w:top w:w="0" w:type="dxa"/>
          <w:left w:w="0" w:type="dxa"/>
          <w:bottom w:w="0" w:type="dxa"/>
          <w:right w:w="0" w:type="dxa"/>
        </w:tblCellMar>
      </w:tblPr>
      <w:tblGrid>
        <w:gridCol w:w="1726"/>
        <w:gridCol w:w="346"/>
        <w:gridCol w:w="991"/>
        <w:gridCol w:w="346"/>
        <w:gridCol w:w="916"/>
        <w:gridCol w:w="346"/>
        <w:gridCol w:w="856"/>
        <w:gridCol w:w="346"/>
        <w:gridCol w:w="826"/>
        <w:gridCol w:w="346"/>
        <w:gridCol w:w="2341"/>
      </w:tblGrid>
      <w:tr>
        <w:trPr/>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096010" cy="175260"/>
                      <wp:effectExtent l="0" t="0" r="0" b="0"/>
                      <wp:wrapNone/>
                      <wp:docPr id="351" name="Frame351"/>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19710" cy="175260"/>
                      <wp:effectExtent l="0" t="0" r="0" b="0"/>
                      <wp:wrapNone/>
                      <wp:docPr id="352" name="Frame3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29285" cy="175260"/>
                      <wp:effectExtent l="0" t="0" r="0" b="0"/>
                      <wp:wrapNone/>
                      <wp:docPr id="353" name="Frame3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81660" cy="175260"/>
                      <wp:effectExtent l="0" t="0" r="0" b="0"/>
                      <wp:wrapNone/>
                      <wp:docPr id="355" name="Frame35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43560" cy="175260"/>
                      <wp:effectExtent l="0" t="0" r="0" b="0"/>
                      <wp:wrapNone/>
                      <wp:docPr id="357" name="Frame357"/>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24510" cy="175260"/>
                      <wp:effectExtent l="0" t="0" r="0" b="0"/>
                      <wp:wrapNone/>
                      <wp:docPr id="359" name="Frame3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486535" cy="175260"/>
                      <wp:effectExtent l="0" t="0" r="0" b="0"/>
                      <wp:wrapNone/>
                      <wp:docPr id="361" name="Frame361"/>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Amount at</w:t>
            </w:r>
          </w:p>
        </w:tc>
        <w:tc>
          <w:tcPr>
            <w:tcW w:w="346" w:type="dxa"/>
            <w:tcBorders/>
            <w:vAlign w:val="center"/>
          </w:tcPr>
          <w:p>
            <w:pPr>
              <w:pStyle w:val="TableContents"/>
              <w:bidi w:val="0"/>
              <w:spacing w:before="0" w:after="0"/>
              <w:ind w:left="0" w:right="0" w:hanging="0"/>
              <w:jc w:val="center"/>
              <w:rPr/>
            </w:pPr>
            <w:r>
              <w:rPr/>
              <w:t>​</w:t>
            </w:r>
          </w:p>
        </w:tc>
        <w:tc>
          <w:tcPr>
            <w:tcW w:w="234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 Rates in</w:t>
            </w:r>
          </w:p>
        </w:tc>
        <w:tc>
          <w:tcPr>
            <w:tcW w:w="346" w:type="dxa"/>
            <w:tcBorders/>
            <w:vAlign w:val="center"/>
          </w:tcPr>
          <w:p>
            <w:pPr>
              <w:pStyle w:val="TableContents"/>
              <w:bidi w:val="0"/>
              <w:spacing w:before="0" w:after="0"/>
              <w:ind w:left="0" w:right="0" w:hanging="0"/>
              <w:jc w:val="center"/>
              <w:rPr/>
            </w:pPr>
            <w:r>
              <w:rPr/>
              <w:t>​</w:t>
            </w:r>
          </w:p>
        </w:tc>
        <w:tc>
          <w:tcPr>
            <w:tcW w:w="234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Avg.</w:t>
            </w:r>
          </w:p>
        </w:tc>
        <w:tc>
          <w:tcPr>
            <w:tcW w:w="346" w:type="dxa"/>
            <w:tcBorders/>
            <w:vAlign w:val="center"/>
          </w:tcPr>
          <w:p>
            <w:pPr>
              <w:pStyle w:val="TableContents"/>
              <w:bidi w:val="0"/>
              <w:spacing w:before="0" w:after="0"/>
              <w:ind w:left="0" w:right="0" w:hanging="0"/>
              <w:jc w:val="center"/>
              <w:rPr/>
            </w:pPr>
            <w:r>
              <w:rPr/>
              <w:t>​</w:t>
            </w:r>
          </w:p>
        </w:tc>
        <w:tc>
          <w:tcPr>
            <w:tcW w:w="2028"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U.S. Dollars</w:t>
            </w:r>
          </w:p>
        </w:tc>
        <w:tc>
          <w:tcPr>
            <w:tcW w:w="346" w:type="dxa"/>
            <w:tcBorders/>
            <w:vAlign w:val="center"/>
          </w:tcPr>
          <w:p>
            <w:pPr>
              <w:pStyle w:val="TableContents"/>
              <w:bidi w:val="0"/>
              <w:spacing w:before="0" w:after="0"/>
              <w:ind w:left="0" w:right="0" w:hanging="0"/>
              <w:jc w:val="center"/>
              <w:rPr/>
            </w:pPr>
            <w:r>
              <w:rPr/>
              <w:t>​</w:t>
            </w:r>
          </w:p>
        </w:tc>
        <w:tc>
          <w:tcPr>
            <w:tcW w:w="2341" w:type="dxa"/>
            <w:tcBorders/>
            <w:vAlign w:val="center"/>
          </w:tcPr>
          <w:p>
            <w:pPr>
              <w:pStyle w:val="TableContents"/>
              <w:bidi w:val="0"/>
              <w:spacing w:before="0" w:after="0"/>
              <w:ind w:left="0" w:right="0" w:hanging="0"/>
              <w:jc w:val="center"/>
              <w:rPr/>
            </w:pPr>
            <w:r>
              <w:rPr/>
              <w:t>​</w:t>
            </w:r>
          </w:p>
        </w:tc>
      </w:tr>
      <w:tr>
        <w:trPr/>
        <w:tc>
          <w:tcPr>
            <w:tcW w:w="17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Foreign</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Contracts</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left"/>
              <w:rPr/>
            </w:pPr>
            <w:r>
              <w:rPr/>
              <w:t>  ​ ​ ​</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Dates</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41" w:type="dxa"/>
            <w:tcBorders/>
            <w:shd w:fill="CCEEFF" w:val="clear"/>
            <w:vAlign w:val="center"/>
          </w:tcPr>
          <w:p>
            <w:pPr>
              <w:pStyle w:val="TableContents"/>
              <w:bidi w:val="0"/>
              <w:spacing w:before="0" w:after="0"/>
              <w:ind w:left="0" w:right="0" w:hanging="0"/>
              <w:jc w:val="right"/>
              <w:rPr/>
            </w:pPr>
            <w:r>
              <w:rPr/>
              <w:t>  ​</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1.1970</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w:t>
            </w:r>
          </w:p>
        </w:tc>
        <w:tc>
          <w:tcPr>
            <w:tcW w:w="3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March 2027</w:t>
            </w:r>
          </w:p>
        </w:tc>
      </w:tr>
      <w:tr>
        <w:trPr/>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Sterling</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6,450</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1.3192</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8,509</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8,511</w:t>
            </w:r>
          </w:p>
        </w:tc>
        <w:tc>
          <w:tcPr>
            <w:tcW w:w="346" w:type="dxa"/>
            <w:tcBorders/>
            <w:shd w:fill="CCEEFF" w:val="clear"/>
            <w:vAlign w:val="center"/>
          </w:tcPr>
          <w:p>
            <w:pPr>
              <w:pStyle w:val="TableContents"/>
              <w:bidi w:val="0"/>
              <w:spacing w:before="0" w:after="0"/>
              <w:ind w:left="0" w:right="0" w:hanging="0"/>
              <w:jc w:val="left"/>
              <w:rPr/>
            </w:pPr>
            <w:r>
              <w:rPr/>
              <w:t>​</w:t>
            </w:r>
          </w:p>
        </w:tc>
        <w:tc>
          <w:tcPr>
            <w:tcW w:w="23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May 2027</w:t>
            </w:r>
          </w:p>
        </w:tc>
      </w:tr>
      <w:tr>
        <w:trPr/>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Taiwan Dollar</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1,344,212</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31.6994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42,405</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41,600</w:t>
            </w:r>
          </w:p>
        </w:tc>
        <w:tc>
          <w:tcPr>
            <w:tcW w:w="346"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2026 - June 2027</w:t>
            </w:r>
          </w:p>
        </w:tc>
      </w:tr>
    </w:tbl>
    <w:p>
      <w:pPr>
        <w:pStyle w:val="TextBody"/>
        <w:pBdr/>
        <w:bidi w:val="0"/>
        <w:spacing w:before="0" w:after="240"/>
        <w:ind w:left="0" w:right="0" w:hanging="360"/>
        <w:jc w:val="left"/>
        <w:rPr>
          <w:rFonts w:ascii="Times New Roman;Times;serif" w:hAnsi="Times New Roman;Times;serif"/>
          <w:sz w:val="18"/>
        </w:rPr>
      </w:pPr>
      <w:r>
        <w:rPr>
          <w:rFonts w:ascii="Times New Roman;Times;serif" w:hAnsi="Times New Roman;Times;serif"/>
          <w:sz w:val="18"/>
        </w:rPr>
        <w:t>* New Taiwan Dollars per U.S. dollar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exposed to foreign currency exchange risk related to our investment in net assets in foreign countries. To manage this risk, we have maintained a forward contract with a notional amount of €3.0 million. We designated this forward contract as a hedge of our net investment in Euro-denominated assets. We selected the forward method under FASB guidance related to the accounting for derivative instruments and hedging activities. The forward method requires all changes in the fair value of the contract to be reported as a cumulative translation adjustment in Accumulated other comprehensive loss, net of tax, in the same manner as the underlying hedged net assets. This forward contract matures in November 2026. As of July 31, 2026, we had a realized gain of $1.0 million and an unrealized gain of less than $0.1 million, net of tax, recorded as cumulative translation adjustments in Accumulated other comprehensive loss related to the hedging of our net investment in Euro-denominated assets. Forward contracts for the sale or purchase of foreign currencies as of July 31, 2026, which are designated as net investment hedges under this guidance, were as follows (in thousands, except weighted average forward rates):</w:t>
      </w:r>
    </w:p>
    <w:tbl>
      <w:tblPr>
        <w:tblW w:w="8947" w:type="dxa"/>
        <w:jc w:val="left"/>
        <w:tblInd w:w="0" w:type="dxa"/>
        <w:tblLayout w:type="fixed"/>
        <w:tblCellMar>
          <w:top w:w="0" w:type="dxa"/>
          <w:left w:w="0" w:type="dxa"/>
          <w:bottom w:w="0" w:type="dxa"/>
          <w:right w:w="0" w:type="dxa"/>
        </w:tblCellMar>
      </w:tblPr>
      <w:tblGrid>
        <w:gridCol w:w="1351"/>
        <w:gridCol w:w="346"/>
        <w:gridCol w:w="991"/>
        <w:gridCol w:w="346"/>
        <w:gridCol w:w="916"/>
        <w:gridCol w:w="346"/>
        <w:gridCol w:w="1412"/>
        <w:gridCol w:w="570"/>
        <w:gridCol w:w="1362"/>
        <w:gridCol w:w="346"/>
        <w:gridCol w:w="961"/>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857885" cy="175260"/>
                      <wp:effectExtent l="0" t="0" r="0" b="0"/>
                      <wp:wrapNone/>
                      <wp:docPr id="362" name="Frame36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29285" cy="175260"/>
                      <wp:effectExtent l="0" t="0" r="0" b="0"/>
                      <wp:wrapNone/>
                      <wp:docPr id="364" name="Frame3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81660" cy="175260"/>
                      <wp:effectExtent l="0" t="0" r="0" b="0"/>
                      <wp:wrapNone/>
                      <wp:docPr id="366" name="Frame3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896620" cy="175260"/>
                      <wp:effectExtent l="0" t="0" r="0" b="0"/>
                      <wp:wrapNone/>
                      <wp:docPr id="368" name="Frame368"/>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361950" cy="175260"/>
                      <wp:effectExtent l="0" t="0" r="0" b="0"/>
                      <wp:wrapNone/>
                      <wp:docPr id="369" name="Frame369"/>
                      <a:graphic xmlns:a="http://schemas.openxmlformats.org/drawingml/2006/main">
                        <a:graphicData uri="http://schemas.microsoft.com/office/word/2010/wordprocessingShape">
                          <wps:wsp>
                            <wps:cNvSpPr txBox="1"/>
                            <wps:spPr>
                              <a:xfrm>
                                <a:off x="0" y="0"/>
                                <a:ext cx="361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864870" cy="175260"/>
                      <wp:effectExtent l="0" t="0" r="0" b="0"/>
                      <wp:wrapNone/>
                      <wp:docPr id="370" name="Frame370"/>
                      <a:graphic xmlns:a="http://schemas.openxmlformats.org/drawingml/2006/main">
                        <a:graphicData uri="http://schemas.microsoft.com/office/word/2010/wordprocessingShape">
                          <wps:wsp>
                            <wps:cNvSpPr txBox="1"/>
                            <wps:spPr>
                              <a:xfrm>
                                <a:off x="0" y="0"/>
                                <a:ext cx="864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10235" cy="175260"/>
                      <wp:effectExtent l="0" t="0" r="0" b="0"/>
                      <wp:wrapNone/>
                      <wp:docPr id="372" name="Frame372"/>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344" w:type="dxa"/>
            <w:gridSpan w:val="3"/>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0"/>
              <w:ind w:left="0" w:right="0" w:hanging="0"/>
              <w:jc w:val="left"/>
              <w:rPr/>
            </w:pPr>
            <w:r>
              <w:rPr/>
              <w:t> </w:t>
            </w:r>
          </w:p>
        </w:tc>
        <w:tc>
          <w:tcPr>
            <w:tcW w:w="3344"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Amount at Forward Rates in </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Avg.</w:t>
            </w:r>
          </w:p>
        </w:tc>
        <w:tc>
          <w:tcPr>
            <w:tcW w:w="346" w:type="dxa"/>
            <w:tcBorders/>
            <w:vAlign w:val="center"/>
          </w:tcPr>
          <w:p>
            <w:pPr>
              <w:pStyle w:val="TableContents"/>
              <w:bidi w:val="0"/>
              <w:spacing w:before="0" w:after="0"/>
              <w:ind w:left="0" w:right="0" w:hanging="0"/>
              <w:jc w:val="left"/>
              <w:rPr/>
            </w:pPr>
            <w:r>
              <w:rPr/>
              <w:t>​</w:t>
            </w:r>
          </w:p>
        </w:tc>
        <w:tc>
          <w:tcPr>
            <w:tcW w:w="3344"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U.S. Dollars</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pPr>
            <w:r>
              <w:rPr/>
              <w:t>​</w:t>
            </w:r>
          </w:p>
        </w:tc>
      </w:tr>
      <w:tr>
        <w:trPr/>
        <w:tc>
          <w:tcPr>
            <w:tcW w:w="13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Foreign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Forward</w:t>
            </w:r>
          </w:p>
        </w:tc>
        <w:tc>
          <w:tcPr>
            <w:tcW w:w="346" w:type="dxa"/>
            <w:tcBorders/>
            <w:vAlign w:val="center"/>
          </w:tcPr>
          <w:p>
            <w:pPr>
              <w:pStyle w:val="TableContents"/>
              <w:bidi w:val="0"/>
              <w:spacing w:before="0" w:after="0"/>
              <w:ind w:left="0" w:right="0" w:hanging="0"/>
              <w:jc w:val="left"/>
              <w:rPr/>
            </w:pPr>
            <w:r>
              <w:rPr/>
              <w:t>​</w:t>
            </w:r>
          </w:p>
        </w:tc>
        <w:tc>
          <w:tcPr>
            <w:tcW w:w="141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w:t>
            </w:r>
          </w:p>
        </w:tc>
        <w:tc>
          <w:tcPr>
            <w:tcW w:w="570" w:type="dxa"/>
            <w:tcBorders/>
            <w:vAlign w:val="center"/>
          </w:tcPr>
          <w:p>
            <w:pPr>
              <w:pStyle w:val="TableContents"/>
              <w:bidi w:val="0"/>
              <w:spacing w:before="0" w:after="0"/>
              <w:ind w:left="0" w:right="0" w:hanging="0"/>
              <w:jc w:val="center"/>
              <w:rPr/>
            </w:pPr>
            <w:r>
              <w:rPr/>
              <w:t>​</w:t>
            </w:r>
          </w:p>
        </w:tc>
        <w:tc>
          <w:tcPr>
            <w:tcW w:w="1362"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w:t>
            </w:r>
          </w:p>
        </w:tc>
      </w:tr>
      <w:tr>
        <w:trPr/>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Contracts</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c>
          <w:tcPr>
            <w:tcW w:w="346" w:type="dxa"/>
            <w:tcBorders/>
            <w:vAlign w:val="center"/>
          </w:tcPr>
          <w:p>
            <w:pPr>
              <w:pStyle w:val="TableContents"/>
              <w:bidi w:val="0"/>
              <w:spacing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Rate</w:t>
            </w:r>
          </w:p>
        </w:tc>
        <w:tc>
          <w:tcPr>
            <w:tcW w:w="346" w:type="dxa"/>
            <w:tcBorders/>
            <w:vAlign w:val="center"/>
          </w:tcPr>
          <w:p>
            <w:pPr>
              <w:pStyle w:val="TableContents"/>
              <w:bidi w:val="0"/>
              <w:spacing w:before="0" w:after="0"/>
              <w:ind w:left="0" w:right="0" w:hanging="0"/>
              <w:jc w:val="left"/>
              <w:rPr/>
            </w:pPr>
            <w:r>
              <w:rPr/>
              <w:t>  ​ ​ ​</w:t>
            </w:r>
          </w:p>
        </w:tc>
        <w:tc>
          <w:tcPr>
            <w:tcW w:w="14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570" w:type="dxa"/>
            <w:tcBorders/>
            <w:vAlign w:val="center"/>
          </w:tcPr>
          <w:p>
            <w:pPr>
              <w:pStyle w:val="TableContents"/>
              <w:bidi w:val="0"/>
              <w:spacing w:before="0" w:after="0"/>
              <w:ind w:left="0" w:right="0" w:hanging="0"/>
              <w:jc w:val="left"/>
              <w:rPr/>
            </w:pPr>
            <w:r>
              <w:rPr/>
              <w:t>  ​ ​ ​</w:t>
            </w:r>
          </w:p>
        </w:tc>
        <w:tc>
          <w:tcPr>
            <w:tcW w:w="13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412" w:type="dxa"/>
            <w:tcBorders/>
            <w:shd w:fill="CCEEFF" w:val="clear"/>
            <w:vAlign w:val="center"/>
          </w:tcPr>
          <w:p>
            <w:pPr>
              <w:pStyle w:val="TableContents"/>
              <w:bidi w:val="0"/>
              <w:spacing w:before="0" w:after="0"/>
              <w:ind w:left="0" w:right="0" w:hanging="0"/>
              <w:jc w:val="right"/>
              <w:rPr/>
            </w:pPr>
            <w:r>
              <w:rPr/>
              <w:t>  ​</w:t>
            </w:r>
          </w:p>
        </w:tc>
        <w:tc>
          <w:tcPr>
            <w:tcW w:w="570" w:type="dxa"/>
            <w:tcBorders/>
            <w:shd w:fill="CCEEFF" w:val="clear"/>
            <w:vAlign w:val="center"/>
          </w:tcPr>
          <w:p>
            <w:pPr>
              <w:pStyle w:val="TableContents"/>
              <w:bidi w:val="0"/>
              <w:spacing w:before="0" w:after="0"/>
              <w:ind w:left="0" w:right="0" w:hanging="0"/>
              <w:jc w:val="left"/>
              <w:rPr/>
            </w:pPr>
            <w:r>
              <w:rPr/>
              <w:t> </w:t>
            </w:r>
          </w:p>
        </w:tc>
        <w:tc>
          <w:tcPr>
            <w:tcW w:w="136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1.1723</w:t>
            </w:r>
          </w:p>
        </w:tc>
        <w:tc>
          <w:tcPr>
            <w:tcW w:w="346" w:type="dxa"/>
            <w:tcBorders/>
            <w:vAlign w:val="center"/>
          </w:tcPr>
          <w:p>
            <w:pPr>
              <w:pStyle w:val="TableContents"/>
              <w:bidi w:val="0"/>
              <w:spacing w:before="0" w:after="0"/>
              <w:ind w:left="0" w:right="0" w:hanging="0"/>
              <w:jc w:val="left"/>
              <w:rPr/>
            </w:pPr>
            <w:r>
              <w:rPr/>
              <w:t> </w:t>
            </w:r>
          </w:p>
        </w:tc>
        <w:tc>
          <w:tcPr>
            <w:tcW w:w="14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w:t>
            </w:r>
          </w:p>
        </w:tc>
        <w:tc>
          <w:tcPr>
            <w:tcW w:w="570" w:type="dxa"/>
            <w:tcBorders/>
            <w:vAlign w:val="center"/>
          </w:tcPr>
          <w:p>
            <w:pPr>
              <w:pStyle w:val="TableContents"/>
              <w:bidi w:val="0"/>
              <w:spacing w:before="0" w:after="0"/>
              <w:ind w:left="0" w:right="0" w:hanging="0"/>
              <w:jc w:val="left"/>
              <w:rPr/>
            </w:pPr>
            <w:r>
              <w:rPr/>
              <w:t> </w:t>
            </w:r>
          </w:p>
        </w:tc>
        <w:tc>
          <w:tcPr>
            <w:tcW w:w="1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 2026</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1154" w:name="Item4CONTROLSANDPROCEDURES_328250"/>
      <w:bookmarkStart w:id="1155" w:name="_cf5a6d65_7a47_49f7_9936_1d2967d16834"/>
      <w:bookmarkEnd w:id="1154"/>
      <w:bookmarkEnd w:id="1155"/>
      <w:r>
        <w:rPr>
          <w:rFonts w:ascii="Times New Roman;Times;serif" w:hAnsi="Times New Roman;Times;serif"/>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conducted an evaluation under the supervision and with the participation of management, including the Chief Executive Officer and Chief Financial Officer, of the effectiveness of the design and operation of our disclosure controls and procedures as of July 31, 2026, pursuant to Rule 13a-15(b) under the Securities Exchange Act of 1934, as amended (the “Exchange Act”). Based upon that evaluation, our management, including the Chief Executive Officer and Chief Financial Officer, concluded that our disclosure controls and procedures were effective as of the evaluation date.</w:t>
      </w:r>
    </w:p>
    <w:p>
      <w:pPr>
        <w:pStyle w:val="TextBody"/>
        <w:bidi w:val="0"/>
        <w:spacing w:before="0" w:after="240"/>
        <w:ind w:left="0" w:right="0" w:hanging="0"/>
        <w:jc w:val="both"/>
        <w:rPr>
          <w:rFonts w:ascii="Times New Roman;Times;serif" w:hAnsi="Times New Roman;Times;serif"/>
          <w:sz w:val="20"/>
        </w:rPr>
      </w:pPr>
      <w:bookmarkStart w:id="1156" w:name="Internal_Control"/>
      <w:bookmarkEnd w:id="1156"/>
      <w:r>
        <w:rPr>
          <w:rFonts w:ascii="Times New Roman;Times;serif" w:hAnsi="Times New Roman;Times;serif"/>
          <w:sz w:val="20"/>
        </w:rPr>
        <w:t>There were no changes in our internal control over financial reporting during the three months ended July 31, 2026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57" w:name="PARTIIOTHERINFORMATION_846939"/>
      <w:bookmarkStart w:id="1158" w:name="_3aface36_1780_4d92_9be4_d2a38c719f77"/>
      <w:bookmarkEnd w:id="1157"/>
      <w:bookmarkEnd w:id="1158"/>
      <w:r>
        <w:rPr>
          <w:rFonts w:ascii="Times New Roman;Times;serif" w:hAnsi="Times New Roman;Times;serif"/>
          <w:b/>
          <w:sz w:val="20"/>
        </w:rPr>
        <w:t>PART II -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159" w:name="Item1LEGALPROCEEDINGS_637674"/>
      <w:bookmarkEnd w:id="1159"/>
      <w:r>
        <w:rPr>
          <w:rFonts w:ascii="Times New Roman;Times;serif" w:hAnsi="Times New Roman;Times;serif"/>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are involved in various claims and lawsuits arising in the normal course of business. Pursuant to applicable accounting rules, we accrue the minimum liability for each known claim when the estimated outcome is a range of possible loss and no one amount within that range is more likely than another. We maintain insurance policies for such matters, and we record insurance recoveries when we determine such recovery to be probable. We do not expect any of these claims, individually or in the aggregate, to have a material adverse effect on our consolidated financial position or results of operations. We believe that the ultimate resolution of claims for any losses will not exceed our insurance policy coverages.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160" w:name="Item1ARISKFACTORS_739134"/>
      <w:bookmarkStart w:id="1161" w:name="_b0a4bd06_0976_4214_81d5_789d9a3b58bf"/>
      <w:bookmarkEnd w:id="1160"/>
      <w:bookmarkEnd w:id="1161"/>
      <w:r>
        <w:rPr>
          <w:rFonts w:ascii="Times New Roman;Times;serif" w:hAnsi="Times New Roman;Times;serif"/>
          <w:sz w:val="20"/>
        </w:rPr>
        <w:t>Item 1A.    RISK FACTORS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have been no material changes from the risk factors disclosed in Part I, Item 1A – Risk Factors in our Annual Report on Form 10-K for the year ended October 31, 2025.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bookmarkStart w:id="1162" w:name="Item2UNREGISTEREDSALESOFEQUITYSECURITIES"/>
      <w:bookmarkStart w:id="1163" w:name="_59c505d6_1d0e_4081_a122_b9d54c3e7fe6"/>
      <w:bookmarkEnd w:id="1162"/>
      <w:bookmarkEnd w:id="1163"/>
      <w:r>
        <w:rPr>
          <w:rFonts w:ascii="Times New Roman;Times;serif" w:hAnsi="Times New Roman;Times;serif"/>
          <w:sz w:val="20"/>
        </w:rPr>
        <w:t>Item 2.    UNREGISTERED SALES OF EQUITY SECURITIES AND USE OF PROCEEDS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did not repurchase any shares of our common stock in the third quarter of fiscal year 2026.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1164" w:name="Item5OTHERINFORMATION_636223"/>
      <w:bookmarkStart w:id="1165" w:name="_c488485d_bedc_4a4a_af58_90292453269d"/>
      <w:bookmarkEnd w:id="1164"/>
      <w:bookmarkEnd w:id="1165"/>
      <w:r>
        <w:rPr>
          <w:rFonts w:ascii="Times New Roman;Times;serif" w:hAnsi="Times New Roman;Times;serif"/>
          <w:sz w:val="20"/>
        </w:rPr>
        <w:t>Item 5.    OTHER INFORMATION</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period covered by this report, the Audit Committee of our Board of Directors engaged our independent registered public accounting firm to perform non-audit, tax planning services. This disclosure is made pursuant to Section 10A(i)(2) of the Exchange Act, as added by Section 202 of the Sarbanes-Oxley Act of 2002.</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July 31, 2026,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the Securities and Exchange Commission’s rules).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66" w:name="Item6EXHIBITS_363969"/>
      <w:bookmarkStart w:id="1167" w:name="_52241f23_8e96_4655_94b4_36ee0777d0f2"/>
      <w:bookmarkEnd w:id="1166"/>
      <w:bookmarkEnd w:id="1167"/>
      <w:r>
        <w:rPr>
          <w:rFonts w:ascii="Times New Roman;Times;serif" w:hAnsi="Times New Roman;Times;serif"/>
          <w:sz w:val="20"/>
        </w:rPr>
        <w:t>Item 6.    EXHIBITS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EXHIBIT INDEX</w:t>
      </w:r>
    </w:p>
    <w:tbl>
      <w:tblPr>
        <w:tblW w:w="10205" w:type="dxa"/>
        <w:jc w:val="left"/>
        <w:tblInd w:w="0" w:type="dxa"/>
        <w:tblLayout w:type="fixed"/>
        <w:tblCellMar>
          <w:top w:w="0" w:type="dxa"/>
          <w:left w:w="0" w:type="dxa"/>
          <w:bottom w:w="0" w:type="dxa"/>
          <w:right w:w="0" w:type="dxa"/>
        </w:tblCellMar>
      </w:tblPr>
      <w:tblGrid>
        <w:gridCol w:w="481"/>
        <w:gridCol w:w="346"/>
        <w:gridCol w:w="9378"/>
      </w:tblGrid>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  ​ ​ ​</w:t>
            </w:r>
          </w:p>
        </w:tc>
        <w:tc>
          <w:tcPr>
            <w:tcW w:w="9378"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Articles of Incorporation of the Registrant, as amended effective March 15, 2024, incorporated by reference to Exhibit 3.1 to the Registrant’s Quarterly Report on Form 10-Q for the quarter ended April 30, 2024.</w:t>
              </w:r>
            </w:hyperlink>
          </w:p>
        </w:tc>
      </w:tr>
      <w:tr>
        <w:trPr/>
        <w:tc>
          <w:tcPr>
            <w:tcW w:w="4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Amended and Restated By-Laws of the Registrant, as amended through March 15, 2024, incorporated by reference to Exhibit 3.2 to the Registrant’s Quarterly Report on Form 10-Q for the quarter ended April 30, 2024.</w:t>
              </w:r>
            </w:hyperlink>
          </w:p>
        </w:tc>
      </w:tr>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78" w:type="dxa"/>
            <w:tcBorders/>
            <w:vAlign w:val="center"/>
          </w:tcPr>
          <w:p>
            <w:pPr>
              <w:pStyle w:val="TableContents"/>
              <w:bidi w:val="0"/>
              <w:spacing w:before="0" w:after="0"/>
              <w:ind w:left="0" w:right="0" w:hanging="0"/>
              <w:jc w:val="both"/>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hyperlink w:anchor="hurc-20260731xex31d1.htm">
              <w:r>
                <w:rPr>
                  <w:rStyle w:val="InternetLink"/>
                  <w:rFonts w:ascii="Times New Roman;Times;serif" w:hAnsi="Times New Roman;Times;serif"/>
                  <w:b w:val="false"/>
                  <w:i w:val="false"/>
                  <w:caps w:val="false"/>
                  <w:smallCaps w:val="false"/>
                  <w:sz w:val="20"/>
                </w:rPr>
                <w:t>Certification by the Chief Executive Officer pursuant to Rule 13a-14(a) under the Securities Exchange Act of 1934, as amended.</w:t>
              </w:r>
            </w:hyperlink>
            <w:r>
              <w:rPr>
                <w:rFonts w:ascii="Times New Roman;Times;serif" w:hAnsi="Times New Roman;Times;serif"/>
                <w:sz w:val="20"/>
              </w:rPr>
              <w:t xml:space="preserve"> </w:t>
            </w:r>
          </w:p>
        </w:tc>
      </w:tr>
      <w:tr>
        <w:trPr/>
        <w:tc>
          <w:tcPr>
            <w:tcW w:w="4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hyperlink w:anchor="hurc-20260731xex31d2.htm">
              <w:r>
                <w:rPr>
                  <w:rStyle w:val="InternetLink"/>
                  <w:rFonts w:ascii="Times New Roman;Times;serif" w:hAnsi="Times New Roman;Times;serif"/>
                  <w:b w:val="false"/>
                  <w:i w:val="false"/>
                  <w:caps w:val="false"/>
                  <w:smallCaps w:val="false"/>
                  <w:sz w:val="20"/>
                </w:rPr>
                <w:t>Certification by the Chief Financial Officer pursuant to Rule 13a-14(a) under the Securities Exchange Act of 1934, as amended.</w:t>
              </w:r>
            </w:hyperlink>
            <w:r>
              <w:rPr>
                <w:rFonts w:ascii="Times New Roman;Times;serif" w:hAnsi="Times New Roman;Times;serif"/>
                <w:sz w:val="20"/>
              </w:rPr>
              <w:t xml:space="preserve"> </w:t>
            </w:r>
          </w:p>
        </w:tc>
      </w:tr>
      <w:tr>
        <w:trPr/>
        <w:tc>
          <w:tcPr>
            <w:tcW w:w="4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hyperlink w:anchor="hurc-20260731xex32d1.htm">
              <w:r>
                <w:rPr>
                  <w:rStyle w:val="InternetLink"/>
                  <w:rFonts w:ascii="Times New Roman;Times;serif" w:hAnsi="Times New Roman;Times;serif"/>
                  <w:b w:val="false"/>
                  <w:i w:val="false"/>
                  <w:caps w:val="false"/>
                  <w:smallCaps w:val="false"/>
                  <w:sz w:val="20"/>
                </w:rPr>
                <w:t>Certification by the Chief Executive Officer pursuant to Section 906 of the Sarbanes-Oxley Act of 2002.</w:t>
              </w:r>
            </w:hyperlink>
            <w:r>
              <w:rPr>
                <w:rFonts w:ascii="Times New Roman;Times;serif" w:hAnsi="Times New Roman;Times;serif"/>
                <w:sz w:val="20"/>
              </w:rPr>
              <w:t xml:space="preserve"> </w:t>
            </w:r>
          </w:p>
        </w:tc>
      </w:tr>
      <w:tr>
        <w:trPr/>
        <w:tc>
          <w:tcPr>
            <w:tcW w:w="4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283"/>
              <w:ind w:left="0" w:right="0" w:hanging="0"/>
              <w:jc w:val="left"/>
              <w:rPr>
                <w:sz w:val="4"/>
                <w:szCs w:val="4"/>
              </w:rPr>
            </w:pPr>
            <w:r>
              <w:rPr>
                <w:sz w:val="4"/>
                <w:szCs w:val="4"/>
              </w:rPr>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hyperlink w:anchor="hurc-20260731xex32d2.htm">
              <w:r>
                <w:rPr>
                  <w:rStyle w:val="InternetLink"/>
                  <w:rFonts w:ascii="Times New Roman;Times;serif" w:hAnsi="Times New Roman;Times;serif"/>
                  <w:b w:val="false"/>
                  <w:i w:val="false"/>
                  <w:caps w:val="false"/>
                  <w:smallCaps w:val="false"/>
                  <w:sz w:val="20"/>
                </w:rPr>
                <w:t>Certification by the Chief Financial Officer pursuant to Section 906 of the Sarbanes-Oxley Act of 2002.</w:t>
              </w:r>
            </w:hyperlink>
            <w:r>
              <w:rPr>
                <w:rFonts w:ascii="Times New Roman;Times;serif" w:hAnsi="Times New Roman;Times;serif"/>
                <w:sz w:val="20"/>
              </w:rPr>
              <w:t xml:space="preserve"> </w:t>
            </w:r>
          </w:p>
        </w:tc>
      </w:tr>
      <w:tr>
        <w:trPr/>
        <w:tc>
          <w:tcPr>
            <w:tcW w:w="4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pPr>
            <w:r>
              <w:rPr/>
              <w:t> </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information from the Registrant’s Quarterly Report on Form 10-Q for the quarter ended July 31, 2026, formatted in Inline XBRL: (i) Condensed Consolidated Statements of Operations; (ii) Condensed Consolidated Statements of Comprehensive Income (Loss); (iii) Condensed Consolidated Balance Sheets; (iv) Condensed Consolidated Statements of Cash Flows; (v) Condensed Consolidated Statements of Changes in Shareholders’ Equity; (vi) Notes to Condensed Consolidated Financial Statements; and (vii) information regarding trading arrangements set forth in Part II, Item 5.</w:t>
            </w:r>
          </w:p>
        </w:tc>
      </w:tr>
      <w:tr>
        <w:trPr/>
        <w:tc>
          <w:tcPr>
            <w:tcW w:w="481" w:type="dxa"/>
            <w:tcBorders/>
            <w:vAlign w:val="center"/>
          </w:tcPr>
          <w:p>
            <w:pPr>
              <w:pStyle w:val="TableContents"/>
              <w:bidi w:val="0"/>
              <w:spacing w:before="0" w:after="0"/>
              <w:ind w:left="0" w:right="0" w:hanging="0"/>
              <w:jc w:val="left"/>
              <w:rPr>
                <w:shd w:fill="FFFF00" w:val="clear"/>
              </w:rPr>
            </w:pPr>
            <w:r>
              <w:rPr>
                <w:shd w:fill="FFFF00" w:val="clear"/>
              </w:rPr>
              <w:t>​</w:t>
            </w:r>
          </w:p>
        </w:tc>
        <w:tc>
          <w:tcPr>
            <w:tcW w:w="346" w:type="dxa"/>
            <w:tcBorders/>
            <w:vAlign w:val="center"/>
          </w:tcPr>
          <w:p>
            <w:pPr>
              <w:pStyle w:val="TableContents"/>
              <w:bidi w:val="0"/>
              <w:spacing w:before="0" w:after="0"/>
              <w:ind w:left="0" w:right="0" w:hanging="0"/>
              <w:jc w:val="left"/>
              <w:rPr>
                <w:shd w:fill="FFFF00" w:val="clear"/>
              </w:rPr>
            </w:pPr>
            <w:r>
              <w:rPr>
                <w:shd w:fill="FFFF00" w:val="clear"/>
              </w:rPr>
              <w:t>​</w:t>
            </w:r>
          </w:p>
        </w:tc>
        <w:tc>
          <w:tcPr>
            <w:tcW w:w="9378" w:type="dxa"/>
            <w:tcBorders/>
            <w:vAlign w:val="center"/>
          </w:tcPr>
          <w:p>
            <w:pPr>
              <w:pStyle w:val="TableContents"/>
              <w:bidi w:val="0"/>
              <w:spacing w:before="0" w:after="0"/>
              <w:ind w:left="0" w:right="0" w:hanging="0"/>
              <w:jc w:val="both"/>
              <w:rPr>
                <w:shd w:fill="FFFF00" w:val="clear"/>
              </w:rPr>
            </w:pPr>
            <w:r>
              <w:rPr>
                <w:shd w:fill="FFFF00" w:val="clea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 </w:t>
            </w:r>
          </w:p>
        </w:tc>
        <w:tc>
          <w:tcPr>
            <w:tcW w:w="93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168" w:name="SIGNATURES_515907"/>
      <w:bookmarkStart w:id="1169" w:name="_895a34b3_3708_4d3c_8ed3_02bfac4ef454"/>
      <w:bookmarkEnd w:id="1168"/>
      <w:bookmarkEnd w:id="1169"/>
      <w:r>
        <w:rPr>
          <w:rFonts w:ascii="Times New Roman;Times;serif" w:hAnsi="Times New Roman;Times;serif"/>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5661" w:type="dxa"/>
        <w:jc w:val="left"/>
        <w:tblInd w:w="0" w:type="dxa"/>
        <w:tblLayout w:type="fixed"/>
        <w:tblCellMar>
          <w:top w:w="0" w:type="dxa"/>
          <w:left w:w="0" w:type="dxa"/>
          <w:bottom w:w="0" w:type="dxa"/>
          <w:right w:w="0" w:type="dxa"/>
        </w:tblCellMar>
      </w:tblPr>
      <w:tblGrid>
        <w:gridCol w:w="124"/>
        <w:gridCol w:w="406"/>
        <w:gridCol w:w="5131"/>
      </w:tblGrid>
      <w:tr>
        <w:trPr/>
        <w:tc>
          <w:tcPr>
            <w:tcW w:w="124" w:type="dxa"/>
            <w:tcBorders/>
            <w:vAlign w:val="center"/>
          </w:tcPr>
          <w:p>
            <w:pPr>
              <w:pStyle w:val="TableContents"/>
              <w:bidi w:val="0"/>
              <w:spacing w:before="0" w:after="0"/>
              <w:ind w:left="0" w:right="0" w:hanging="0"/>
              <w:jc w:val="left"/>
              <w:rPr/>
            </w:pPr>
            <w:r>
              <w:rPr/>
              <w:t>​</w:t>
            </w:r>
          </w:p>
        </w:tc>
        <w:tc>
          <w:tcPr>
            <w:tcW w:w="55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HURCO COMPANIES,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Sonja K. McClelland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Sonja K. McClelland</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Treasurer &amp;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4, 2026</w:t>
            </w:r>
          </w:p>
        </w:tc>
      </w:tr>
    </w:tbl>
    <w:p>
      <w:pPr>
        <w:pStyle w:val="TextBody"/>
        <w:bidi w:val="0"/>
        <w:spacing w:before="0" w:after="0"/>
        <w:ind w:left="0" w:right="0" w:hanging="0"/>
        <w:jc w:val="left"/>
        <w:rPr/>
      </w:pPr>
      <w:r>
        <w:rPr/>
        <w:t>​</w:t>
      </w:r>
    </w:p>
    <w:p>
      <w:pPr>
        <w:pStyle w:val="TextBody"/>
        <w:bidi w:val="0"/>
        <w:spacing w:before="0" w:after="0"/>
        <w:ind w:left="504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right"/>
        <w:rPr>
          <w:rFonts w:ascii="Times New Roman;Times;serif" w:hAnsi="Times New Roman;Times;serif"/>
          <w:b/>
          <w:sz w:val="20"/>
        </w:rPr>
      </w:pPr>
      <w:bookmarkStart w:id="1170" w:name="hurc-20260731xex31d1.htm"/>
      <w:bookmarkStart w:id="1171" w:name="kshurc20260731xex31d1"/>
      <w:bookmarkEnd w:id="1170"/>
      <w:bookmarkEnd w:id="1171"/>
      <w:r>
        <w:rPr>
          <w:rFonts w:ascii="Times New Roman;Times;serif" w:hAnsi="Times New Roman;Times;serif"/>
          <w:b/>
          <w:sz w:val="20"/>
        </w:rPr>
        <w:t>Exhibit 31.1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13a-14(a) UNDER THE SECURITIES EXCHANGE ACT OF 1934, AS AMENDED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 Gregory Volovic, certify that:</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1.    I have reviewed this quarterly report on Form 10-Q of Hurco Companies, Inc.;</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108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72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44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72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08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pBdr/>
        <w:bidi w:val="0"/>
        <w:spacing w:before="0" w:after="0"/>
        <w:ind w:left="1080" w:right="0" w:hanging="360"/>
        <w:jc w:val="both"/>
        <w:rPr/>
      </w:pPr>
      <w:r>
        <w:rPr/>
        <w:t>​</w:t>
      </w:r>
    </w:p>
    <w:tbl>
      <w:tblPr>
        <w:tblW w:w="2195" w:type="dxa"/>
        <w:jc w:val="center"/>
        <w:tblInd w:w="0" w:type="dxa"/>
        <w:tblLayout w:type="fixed"/>
        <w:tblCellMar>
          <w:top w:w="0" w:type="dxa"/>
          <w:left w:w="0" w:type="dxa"/>
          <w:bottom w:w="0" w:type="dxa"/>
          <w:right w:w="0" w:type="dxa"/>
        </w:tblCellMar>
      </w:tblPr>
      <w:tblGrid>
        <w:gridCol w:w="2041"/>
        <w:gridCol w:w="154"/>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96035" cy="146685"/>
                      <wp:effectExtent l="0" t="0" r="0" b="0"/>
                      <wp:wrapNone/>
                      <wp:docPr id="373" name="Frame373"/>
                      <a:graphic xmlns:a="http://schemas.openxmlformats.org/drawingml/2006/main">
                        <a:graphicData uri="http://schemas.microsoft.com/office/word/2010/wordprocessingShape">
                          <wps:wsp>
                            <wps:cNvSpPr txBox="1"/>
                            <wps:spPr>
                              <a:xfrm>
                                <a:off x="0" y="0"/>
                                <a:ext cx="12960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Arch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Arch </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97790" cy="175260"/>
                      <wp:effectExtent l="0" t="0" r="0" b="0"/>
                      <wp:wrapNone/>
                      <wp:docPr id="374" name="Frame37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Volovic</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Volovic</w:t>
            </w:r>
          </w:p>
        </w:tc>
        <w:tc>
          <w:tcPr>
            <w:tcW w:w="154"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4, 2026</w:t>
            </w:r>
          </w:p>
        </w:tc>
        <w:tc>
          <w:tcPr>
            <w:tcW w:w="154"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72" w:name="hurc-20260731xex31d2.htm"/>
      <w:bookmarkStart w:id="1173" w:name="kshurc20260731xex31d2"/>
      <w:bookmarkEnd w:id="1172"/>
      <w:bookmarkEnd w:id="1173"/>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 13a-14(a) UNDER THE SECURITIES EXCHANGE ACT OF 1934, AS AMENDED</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 Sonja K. McClelland, certify that:</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1.    I have reviewed this quarterly report on Form 10-Q of Hurco Companies, Inc.;</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0"/>
        <w:ind w:left="0" w:right="0" w:hanging="108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0"/>
        <w:ind w:left="360" w:right="0" w:hanging="72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0"/>
        <w:ind w:left="72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44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720" w:right="0" w:hanging="0"/>
        <w:jc w:val="left"/>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0"/>
        <w:ind w:left="72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1080" w:right="0" w:hanging="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tbl>
      <w:tblPr>
        <w:tblW w:w="5255" w:type="dxa"/>
        <w:jc w:val="center"/>
        <w:tblInd w:w="0" w:type="dxa"/>
        <w:tblLayout w:type="fixed"/>
        <w:tblCellMar>
          <w:top w:w="0" w:type="dxa"/>
          <w:left w:w="0" w:type="dxa"/>
          <w:bottom w:w="0" w:type="dxa"/>
          <w:right w:w="0" w:type="dxa"/>
        </w:tblCellMar>
      </w:tblPr>
      <w:tblGrid>
        <w:gridCol w:w="5101"/>
        <w:gridCol w:w="154"/>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239135" cy="175260"/>
                      <wp:effectExtent l="0" t="0" r="0" b="0"/>
                      <wp:wrapNone/>
                      <wp:docPr id="375" name="Frame375"/>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97790" cy="175260"/>
                      <wp:effectExtent l="0" t="0" r="0" b="0"/>
                      <wp:wrapNone/>
                      <wp:docPr id="376" name="Frame37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Sonja K. McClelland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Sonja K. McClelland</w:t>
            </w:r>
          </w:p>
        </w:tc>
        <w:tc>
          <w:tcPr>
            <w:tcW w:w="154" w:type="dxa"/>
            <w:tcBorders/>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Treasurer &amp; Chief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4, 2026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74" w:name="hurc-20260731xex32d1.htm"/>
      <w:bookmarkStart w:id="1175" w:name="kshurc20260731xex32d1"/>
      <w:bookmarkEnd w:id="1174"/>
      <w:bookmarkEnd w:id="1175"/>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Hurco Companies, Inc. (the "Company") on Form 10-Q for the period ended July 31, 2026, as filed with the Securities and Exchange Commission on the date hereof (the "Report"), the undersigned hereby certifies, pursuant to § 906 of the Sarbanes-Oxley Act of 2002, that:</w:t>
      </w:r>
    </w:p>
    <w:p>
      <w:pPr>
        <w:pStyle w:val="TextBody"/>
        <w:bidi w:val="0"/>
        <w:spacing w:before="0" w:after="0"/>
        <w:ind w:left="0" w:right="0" w:hanging="0"/>
        <w:jc w:val="both"/>
        <w:rPr/>
      </w:pPr>
      <w:r>
        <w:rPr/>
        <w: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72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pBdr/>
        <w:bidi w:val="0"/>
        <w:spacing w:before="0" w:after="0"/>
        <w:ind w:left="360" w:right="0" w:hanging="360"/>
        <w:jc w:val="both"/>
        <w:rPr/>
      </w:pPr>
      <w:r>
        <w:rPr/>
        <w:t>​</w:t>
      </w:r>
    </w:p>
    <w:tbl>
      <w:tblPr>
        <w:tblW w:w="2195" w:type="dxa"/>
        <w:jc w:val="center"/>
        <w:tblInd w:w="0" w:type="dxa"/>
        <w:tblLayout w:type="fixed"/>
        <w:tblCellMar>
          <w:top w:w="0" w:type="dxa"/>
          <w:left w:w="0" w:type="dxa"/>
          <w:bottom w:w="0" w:type="dxa"/>
          <w:right w:w="0" w:type="dxa"/>
        </w:tblCellMar>
      </w:tblPr>
      <w:tblGrid>
        <w:gridCol w:w="2041"/>
        <w:gridCol w:w="154"/>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296035" cy="146685"/>
                      <wp:effectExtent l="0" t="0" r="0" b="0"/>
                      <wp:wrapNone/>
                      <wp:docPr id="377" name="Frame377"/>
                      <a:graphic xmlns:a="http://schemas.openxmlformats.org/drawingml/2006/main">
                        <a:graphicData uri="http://schemas.microsoft.com/office/word/2010/wordprocessingShape">
                          <wps:wsp>
                            <wps:cNvSpPr txBox="1"/>
                            <wps:spPr>
                              <a:xfrm>
                                <a:off x="0" y="0"/>
                                <a:ext cx="12960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Arch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Arch </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7790" cy="175260"/>
                      <wp:effectExtent l="0" t="0" r="0" b="0"/>
                      <wp:wrapNone/>
                      <wp:docPr id="378" name="Frame3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Volovic</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Volovic</w:t>
            </w:r>
          </w:p>
        </w:tc>
        <w:tc>
          <w:tcPr>
            <w:tcW w:w="154"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76" w:name="hurc-20260731xex32d2.htm"/>
      <w:bookmarkStart w:id="1177" w:name="kshurc20260731xex32d2"/>
      <w:bookmarkEnd w:id="1176"/>
      <w:bookmarkEnd w:id="1177"/>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Hurco Companies, Inc. (the "Company") on Form 10-Q for the period ended July 31, 2026, as filed with the Securities and Exchange Commission on the date hereof (the "Report"), the undersigned hereby certifies, pursuant to § 906 of the Sarbanes-Oxley Act of 2002, that:</w:t>
      </w:r>
    </w:p>
    <w:p>
      <w:pPr>
        <w:pStyle w:val="TextBody"/>
        <w:bidi w:val="0"/>
        <w:spacing w:before="0" w:after="0"/>
        <w:ind w:left="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720" w:right="0" w:hanging="0"/>
        <w:jc w:val="both"/>
        <w:rPr/>
      </w:pPr>
      <w:r>
        <w:rPr/>
        <w:t>​</w:t>
      </w:r>
    </w:p>
    <w:p>
      <w:pPr>
        <w:pStyle w:val="TextBody"/>
        <w:pBdr/>
        <w:bidi w:val="0"/>
        <w:spacing w:before="0" w:after="0"/>
        <w:ind w:left="720" w:right="0" w:hanging="36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pBdr/>
        <w:bidi w:val="0"/>
        <w:spacing w:before="0" w:after="0"/>
        <w:ind w:left="360" w:right="0" w:hanging="360"/>
        <w:jc w:val="both"/>
        <w:rPr/>
      </w:pPr>
      <w:r>
        <w:rPr/>
        <w:t>​</w:t>
      </w:r>
    </w:p>
    <w:tbl>
      <w:tblPr>
        <w:tblW w:w="5255" w:type="dxa"/>
        <w:jc w:val="center"/>
        <w:tblInd w:w="0" w:type="dxa"/>
        <w:tblLayout w:type="fixed"/>
        <w:tblCellMar>
          <w:top w:w="0" w:type="dxa"/>
          <w:left w:w="0" w:type="dxa"/>
          <w:bottom w:w="0" w:type="dxa"/>
          <w:right w:w="0" w:type="dxa"/>
        </w:tblCellMar>
      </w:tblPr>
      <w:tblGrid>
        <w:gridCol w:w="5101"/>
        <w:gridCol w:w="154"/>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239135" cy="146685"/>
                      <wp:effectExtent l="0" t="0" r="0" b="0"/>
                      <wp:wrapNone/>
                      <wp:docPr id="379" name="Frame379"/>
                      <a:graphic xmlns:a="http://schemas.openxmlformats.org/drawingml/2006/main">
                        <a:graphicData uri="http://schemas.microsoft.com/office/word/2010/wordprocessingShape">
                          <wps:wsp>
                            <wps:cNvSpPr txBox="1"/>
                            <wps:spPr>
                              <a:xfrm>
                                <a:off x="0" y="0"/>
                                <a:ext cx="323913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7790" cy="175260"/>
                      <wp:effectExtent l="0" t="0" r="0" b="0"/>
                      <wp:wrapNone/>
                      <wp:docPr id="380" name="Frame38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Sonja K. McClelland</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Sonja K. McClelland</w:t>
            </w:r>
          </w:p>
        </w:tc>
        <w:tc>
          <w:tcPr>
            <w:tcW w:w="154" w:type="dxa"/>
            <w:tcBorders/>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Treasurer &amp;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5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4,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5374/000155837024009007/hurc-20240430xex3d1.htm" TargetMode="External"/><Relationship Id="rId3" Type="http://schemas.openxmlformats.org/officeDocument/2006/relationships/hyperlink" Target="https://www.sec.gov/Archives/edgar/data/315374/000155837024009007/hurc-20240430xex3d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18175</Words>
  <Characters>99304</Characters>
  <CharactersWithSpaces>120353</CharactersWithSpaces>
  <Paragraphs>5715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