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40" w:hanging="332"/>
        <w:spacing w:after="0" w:line="234" w:lineRule="auto"/>
        <w:tabs>
          <w:tab w:leader="none" w:pos="397"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April 30, 2026 or</w:t>
      </w:r>
    </w:p>
    <w:p>
      <w:pPr>
        <w:spacing w:after="0" w:line="96" w:lineRule="exact"/>
        <w:rPr>
          <w:sz w:val="24"/>
          <w:szCs w:val="24"/>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 to</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_________.</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No. 0-9143</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HURCO COMPANIES,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8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980" w:type="dxa"/>
            <w:vAlign w:val="bottom"/>
          </w:tcPr>
          <w:p>
            <w:pPr>
              <w:spacing w:after="0"/>
              <w:rPr>
                <w:sz w:val="20"/>
                <w:szCs w:val="20"/>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gridSpan w:val="2"/>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35-1150732</w:t>
            </w:r>
          </w:p>
        </w:tc>
      </w:tr>
      <w:tr>
        <w:trPr>
          <w:trHeight w:val="191"/>
        </w:trPr>
        <w:tc>
          <w:tcPr>
            <w:tcW w:w="40" w:type="dxa"/>
            <w:vAlign w:val="bottom"/>
          </w:tcPr>
          <w:p>
            <w:pPr>
              <w:spacing w:after="0"/>
              <w:rPr>
                <w:sz w:val="16"/>
                <w:szCs w:val="16"/>
                <w:color w:val="auto"/>
              </w:rPr>
            </w:pPr>
          </w:p>
        </w:tc>
        <w:tc>
          <w:tcPr>
            <w:tcW w:w="3840" w:type="dxa"/>
            <w:vAlign w:val="bottom"/>
            <w:tcBorders>
              <w:top w:val="single" w:sz="8" w:color="auto"/>
            </w:tcBorders>
            <w:gridSpan w:val="2"/>
          </w:tcPr>
          <w:p>
            <w:pPr>
              <w:jc w:val="center"/>
              <w:ind w:left="87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40" w:type="dxa"/>
            <w:vAlign w:val="bottom"/>
          </w:tcPr>
          <w:p>
            <w:pPr>
              <w:spacing w:after="0"/>
              <w:rPr>
                <w:sz w:val="20"/>
                <w:szCs w:val="20"/>
                <w:color w:val="auto"/>
              </w:rPr>
            </w:pPr>
          </w:p>
        </w:tc>
        <w:tc>
          <w:tcPr>
            <w:tcW w:w="38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10"/>
        </w:trPr>
        <w:tc>
          <w:tcPr>
            <w:tcW w:w="40" w:type="dxa"/>
            <w:vAlign w:val="bottom"/>
          </w:tcPr>
          <w:p>
            <w:pPr>
              <w:spacing w:after="0"/>
              <w:rPr>
                <w:sz w:val="24"/>
                <w:szCs w:val="24"/>
                <w:color w:val="auto"/>
              </w:rPr>
            </w:pPr>
          </w:p>
        </w:tc>
        <w:tc>
          <w:tcPr>
            <w:tcW w:w="38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One Technology Way</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384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Indianapolis, Indiana</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46268</w:t>
            </w:r>
          </w:p>
        </w:tc>
      </w:tr>
      <w:tr>
        <w:trPr>
          <w:trHeight w:val="228"/>
        </w:trPr>
        <w:tc>
          <w:tcPr>
            <w:tcW w:w="40" w:type="dxa"/>
            <w:vAlign w:val="bottom"/>
          </w:tcPr>
          <w:p>
            <w:pPr>
              <w:spacing w:after="0"/>
              <w:rPr>
                <w:sz w:val="19"/>
                <w:szCs w:val="19"/>
                <w:color w:val="auto"/>
              </w:rPr>
            </w:pPr>
          </w:p>
        </w:tc>
        <w:tc>
          <w:tcPr>
            <w:tcW w:w="38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60" w:type="dxa"/>
            <w:vAlign w:val="bottom"/>
          </w:tcPr>
          <w:p>
            <w:pPr>
              <w:jc w:val="center"/>
              <w:ind w:right="109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(317) 293-5309</w:t>
            </w: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0"/>
        </w:trPr>
        <w:tc>
          <w:tcPr>
            <w:tcW w:w="3880" w:type="dxa"/>
            <w:vAlign w:val="bottom"/>
            <w:gridSpan w:val="3"/>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72"/>
        </w:trPr>
        <w:tc>
          <w:tcPr>
            <w:tcW w:w="5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35"/>
        </w:trPr>
        <w:tc>
          <w:tcPr>
            <w:tcW w:w="4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gridSpan w:val="2"/>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HURC</w:t>
            </w:r>
          </w:p>
        </w:tc>
        <w:tc>
          <w:tcPr>
            <w:tcW w:w="500" w:type="dxa"/>
            <w:vAlign w:val="bottom"/>
            <w:tcBorders>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1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242" w:lineRule="exact"/>
        <w:tabs>
          <w:tab w:leader="none" w:pos="2960" w:val="left"/>
        </w:tabs>
        <w:rPr>
          <w:sz w:val="20"/>
          <w:szCs w:val="20"/>
          <w:color w:val="auto"/>
        </w:rPr>
      </w:pPr>
      <w:r>
        <w:rPr>
          <w:rFonts w:ascii="Times New Roman" w:cs="Times New Roman" w:eastAsia="Times New Roman" w:hAnsi="Times New Roman"/>
          <w:sz w:val="18"/>
          <w:szCs w:val="18"/>
          <w:color w:val="auto"/>
        </w:rPr>
        <w:t>was required to submit such files).</w:t>
      </w:r>
      <w:r>
        <w:rPr>
          <w:sz w:val="20"/>
          <w:szCs w:val="20"/>
          <w:color w:val="auto"/>
        </w:rPr>
        <w:tab/>
      </w: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8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54" w:lineRule="exact"/>
        <w:rPr>
          <w:sz w:val="24"/>
          <w:szCs w:val="24"/>
          <w:color w:val="auto"/>
        </w:rPr>
      </w:pPr>
    </w:p>
    <w:p>
      <w:pPr>
        <w:ind w:left="3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10" w:lineRule="exact"/>
        <w:rPr>
          <w:sz w:val="24"/>
          <w:szCs w:val="24"/>
          <w:color w:val="auto"/>
        </w:rPr>
      </w:pPr>
    </w:p>
    <w:p>
      <w:pPr>
        <w:ind w:left="34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ind w:left="34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305" w:lineRule="exact"/>
        <w:rPr>
          <w:sz w:val="24"/>
          <w:szCs w:val="24"/>
          <w:color w:val="auto"/>
        </w:rPr>
      </w:pPr>
    </w:p>
    <w:p>
      <w:pPr>
        <w:sectPr>
          <w:pgSz w:w="11900" w:h="16838" w:orient="portrait"/>
          <w:cols w:equalWidth="0" w:num="2">
            <w:col w:w="5180" w:space="720"/>
            <w:col w:w="4020"/>
          </w:cols>
          <w:pgMar w:left="980" w:top="661" w:right="999" w:bottom="1440" w:gutter="0" w:footer="0" w:header="0"/>
          <w:type w:val="continuous"/>
        </w:sectPr>
      </w:pPr>
    </w:p>
    <w:p>
      <w:pPr>
        <w:ind w:right="2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8" w:lineRule="exact"/>
        <w:rPr>
          <w:sz w:val="24"/>
          <w:szCs w:val="24"/>
          <w:color w:val="auto"/>
        </w:rPr>
      </w:pPr>
    </w:p>
    <w:p>
      <w:pPr>
        <w:ind w:right="4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May 31, 2026 was 6,476,322.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128905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HURCO COMPANIES,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Quarterly Report for Fiscal Quarter Ended April 30,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12"/>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80" w:type="dxa"/>
            <w:vAlign w:val="bottom"/>
          </w:tcPr>
          <w:p>
            <w:pPr>
              <w:spacing w:after="0"/>
              <w:rPr>
                <w:sz w:val="20"/>
                <w:szCs w:val="20"/>
                <w:color w:val="auto"/>
              </w:rPr>
            </w:pPr>
          </w:p>
        </w:tc>
      </w:tr>
      <w:tr>
        <w:trPr>
          <w:trHeight w:val="39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2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342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40" w:type="dxa"/>
            <w:vAlign w:val="bottom"/>
            <w:gridSpan w:val="2"/>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38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Three and Six Months Ended April 30, 2026 and 2025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Three and Six Months Ended April 30, 2026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April 30, 2026 and October 31, 2025</w:t>
            </w:r>
          </w:p>
        </w:tc>
        <w:tc>
          <w:tcPr>
            <w:tcW w:w="27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Three and Six Months Ended April 30, 2026 and 2025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Shareholders’ Equity Three and Six Months Ended April 30, 2026</w:t>
            </w:r>
          </w:p>
        </w:tc>
        <w:tc>
          <w:tcPr>
            <w:tcW w:w="2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Notes to Condensed Consolidated Financial Statements</w:t>
            </w:r>
          </w:p>
        </w:tc>
        <w:tc>
          <w:tcPr>
            <w:tcW w:w="48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40" w:type="dxa"/>
            <w:vAlign w:val="bottom"/>
            <w:gridSpan w:val="2"/>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40" w:type="dxa"/>
            <w:vAlign w:val="bottom"/>
            <w:gridSpan w:val="2"/>
          </w:tcPr>
          <w:p>
            <w:pPr>
              <w:spacing w:after="0"/>
              <w:rPr>
                <w:sz w:val="24"/>
                <w:szCs w:val="24"/>
                <w:color w:val="auto"/>
              </w:rPr>
            </w:pPr>
          </w:p>
        </w:tc>
        <w:tc>
          <w:tcPr>
            <w:tcW w:w="43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23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12"/>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38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40" w:type="dxa"/>
            <w:vAlign w:val="bottom"/>
            <w:gridSpan w:val="2"/>
          </w:tcPr>
          <w:p>
            <w:pPr>
              <w:spacing w:after="0"/>
              <w:rPr>
                <w:sz w:val="24"/>
                <w:szCs w:val="24"/>
                <w:color w:val="auto"/>
              </w:rPr>
            </w:pPr>
          </w:p>
        </w:tc>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1840" w:type="dxa"/>
            <w:vAlign w:val="bottom"/>
            <w:gridSpan w:val="4"/>
          </w:tcPr>
          <w:p>
            <w:pPr>
              <w:spacing w:after="0"/>
              <w:rPr>
                <w:sz w:val="24"/>
                <w:szCs w:val="24"/>
                <w:color w:val="auto"/>
              </w:rPr>
            </w:pPr>
          </w:p>
        </w:tc>
        <w:tc>
          <w:tcPr>
            <w:tcW w:w="2120" w:type="dxa"/>
            <w:vAlign w:val="bottom"/>
            <w:tcBorders>
              <w:top w:val="single" w:sz="8" w:color="0000EE"/>
            </w:tcBorders>
            <w:gridSpan w:val="4"/>
          </w:tcPr>
          <w:p>
            <w:pPr>
              <w:spacing w:after="0"/>
              <w:rPr>
                <w:sz w:val="24"/>
                <w:szCs w:val="24"/>
                <w:color w:val="auto"/>
              </w:rPr>
            </w:pPr>
          </w:p>
        </w:tc>
        <w:tc>
          <w:tcPr>
            <w:tcW w:w="35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Unregistered Sales of Equity Securities and Use of Proceeds</w:t>
            </w:r>
          </w:p>
        </w:tc>
        <w:tc>
          <w:tcPr>
            <w:tcW w:w="446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2"/>
          </w:tcPr>
          <w:p>
            <w:pPr>
              <w:spacing w:after="0"/>
              <w:rPr>
                <w:sz w:val="24"/>
                <w:szCs w:val="24"/>
                <w:color w:val="auto"/>
              </w:rPr>
            </w:pPr>
          </w:p>
        </w:tc>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Other Information</w:t>
            </w:r>
          </w:p>
        </w:tc>
        <w:tc>
          <w:tcPr>
            <w:tcW w:w="750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40" w:type="dxa"/>
            <w:vAlign w:val="bottom"/>
            <w:gridSpan w:val="2"/>
          </w:tcPr>
          <w:p>
            <w:pPr>
              <w:spacing w:after="0"/>
              <w:rPr>
                <w:sz w:val="24"/>
                <w:szCs w:val="24"/>
                <w:color w:val="auto"/>
              </w:rPr>
            </w:pPr>
          </w:p>
        </w:tc>
        <w:tc>
          <w:tcPr>
            <w:tcW w:w="8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2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95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3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6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3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9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HURCO COMPANIES, INC.</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40" w:type="dxa"/>
            <w:vAlign w:val="bottom"/>
            <w:gridSpan w:val="11"/>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6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760" w:type="dxa"/>
            <w:vAlign w:val="bottom"/>
            <w:tcBorders>
              <w:bottom w:val="single" w:sz="8" w:color="auto"/>
            </w:tcBorders>
          </w:tcPr>
          <w:p>
            <w:pPr>
              <w:spacing w:after="0"/>
              <w:rPr>
                <w:sz w:val="20"/>
                <w:szCs w:val="20"/>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6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3"/>
          </w:tcPr>
          <w:p>
            <w:pPr>
              <w:ind w:left="680"/>
              <w:spacing w:after="0" w:line="196" w:lineRule="exact"/>
              <w:rPr>
                <w:sz w:val="20"/>
                <w:szCs w:val="20"/>
                <w:color w:val="auto"/>
              </w:rPr>
            </w:pPr>
            <w:r>
              <w:rPr>
                <w:rFonts w:ascii="Times New Roman" w:cs="Times New Roman" w:eastAsia="Times New Roman" w:hAnsi="Times New Roman"/>
                <w:sz w:val="18"/>
                <w:szCs w:val="18"/>
                <w:color w:val="auto"/>
                <w:w w:val="96"/>
              </w:rPr>
              <w:t>(unaudited)</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ind w:left="740"/>
              <w:spacing w:after="0" w:line="196" w:lineRule="exact"/>
              <w:rPr>
                <w:sz w:val="20"/>
                <w:szCs w:val="20"/>
                <w:color w:val="auto"/>
              </w:rPr>
            </w:pPr>
            <w:r>
              <w:rPr>
                <w:rFonts w:ascii="Times New Roman" w:cs="Times New Roman" w:eastAsia="Times New Roman" w:hAnsi="Times New Roman"/>
                <w:sz w:val="18"/>
                <w:szCs w:val="18"/>
                <w:color w:val="auto"/>
              </w:rPr>
              <w:t>(unaudited)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service fees</w:t>
            </w:r>
          </w:p>
        </w:tc>
        <w:tc>
          <w:tcPr>
            <w:tcW w:w="1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5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90,486</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and service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72,217</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bottom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5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bottom w:val="single" w:sz="8" w:color="CCEEFF"/>
            </w:tcBorders>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Borders>
              <w:bottom w:val="single" w:sz="8" w:color="CCEEFF"/>
            </w:tcBorders>
            <w:gridSpan w:val="5"/>
            <w:vMerge w:val="continue"/>
          </w:tcPr>
          <w:p>
            <w:pPr>
              <w:spacing w:after="0"/>
              <w:rPr>
                <w:sz w:val="20"/>
                <w:szCs w:val="20"/>
                <w:color w:val="auto"/>
              </w:rPr>
            </w:pPr>
          </w:p>
        </w:tc>
        <w:tc>
          <w:tcPr>
            <w:tcW w:w="1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26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(0.62)</w:t>
            </w:r>
          </w:p>
        </w:tc>
        <w:tc>
          <w:tcPr>
            <w:tcW w:w="2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26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tcBorders>
              <w:bottom w:val="single" w:sz="8" w:color="CCEEFF"/>
            </w:tcBorders>
            <w:gridSpan w:val="5"/>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80" w:type="dxa"/>
            <w:vAlign w:val="bottom"/>
            <w:tcBorders>
              <w:bottom w:val="single" w:sz="8" w:color="CCEEFF"/>
            </w:tcBorders>
            <w:gridSpan w:val="5"/>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6,473</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6,500</w:t>
            </w: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6,449</w:t>
            </w: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500" w:type="dxa"/>
            <w:vAlign w:val="bottom"/>
            <w:gridSpan w:val="6"/>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HURCO COMPANIES, INC.</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60" w:type="dxa"/>
            <w:vAlign w:val="bottom"/>
            <w:gridSpan w:val="13"/>
          </w:tcPr>
          <w:p>
            <w:pPr>
              <w:jc w:val="center"/>
              <w:ind w:right="416"/>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40" w:type="dxa"/>
            <w:vAlign w:val="bottom"/>
            <w:vMerge w:val="restart"/>
          </w:tcPr>
          <w:p>
            <w:pPr>
              <w:ind w:left="2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760" w:type="dxa"/>
            <w:vAlign w:val="bottom"/>
            <w:tcBorders>
              <w:bottom w:val="single" w:sz="8" w:color="auto"/>
            </w:tcBorders>
          </w:tcPr>
          <w:p>
            <w:pPr>
              <w:spacing w:after="0"/>
              <w:rPr>
                <w:sz w:val="20"/>
                <w:szCs w:val="20"/>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ind w:left="760"/>
              <w:spacing w:after="0" w:line="196" w:lineRule="exact"/>
              <w:rPr>
                <w:sz w:val="20"/>
                <w:szCs w:val="20"/>
                <w:color w:val="auto"/>
              </w:rPr>
            </w:pPr>
            <w:r>
              <w:rPr>
                <w:rFonts w:ascii="Times New Roman" w:cs="Times New Roman" w:eastAsia="Times New Roman" w:hAnsi="Times New Roman"/>
                <w:sz w:val="18"/>
                <w:szCs w:val="18"/>
                <w:color w:val="auto"/>
              </w:rPr>
              <w:t>(unaudited)</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(unaudited)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78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Translation (loss) gain of foreign currency financial</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 loss on derivative instruments reclassified into</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net of tax (expense)/ benefit of $55, $86,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$98 and $242, respectively</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 (loss) on derivative instruments, net of tax</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(benefit) of ($57), ($123), ($276) and ($152),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4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480" w:type="dxa"/>
            <w:vAlign w:val="bottom"/>
            <w:gridSpan w:val="2"/>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HURCO COMPANIES,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64"/>
              <w:spacing w:after="0"/>
              <w:rPr>
                <w:sz w:val="20"/>
                <w:szCs w:val="20"/>
                <w:color w:val="auto"/>
              </w:rPr>
            </w:pPr>
            <w:r>
              <w:rPr>
                <w:rFonts w:ascii="Times New Roman" w:cs="Times New Roman" w:eastAsia="Times New Roman" w:hAnsi="Times New Roman"/>
                <w:sz w:val="15"/>
                <w:szCs w:val="15"/>
                <w:b w:val="1"/>
                <w:bCs w:val="1"/>
                <w:color w:val="auto"/>
              </w:rPr>
              <w:t>April 30,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October 31,</w:t>
            </w:r>
          </w:p>
        </w:tc>
        <w:tc>
          <w:tcPr>
            <w:tcW w:w="0" w:type="dxa"/>
            <w:vAlign w:val="bottom"/>
          </w:tcPr>
          <w:p>
            <w:pPr>
              <w:spacing w:after="0"/>
              <w:rPr>
                <w:sz w:val="1"/>
                <w:szCs w:val="1"/>
                <w:color w:val="auto"/>
              </w:rPr>
            </w:pPr>
          </w:p>
        </w:tc>
      </w:tr>
      <w:tr>
        <w:trPr>
          <w:trHeight w:val="183"/>
        </w:trPr>
        <w:tc>
          <w:tcPr>
            <w:tcW w:w="7180" w:type="dxa"/>
            <w:vAlign w:val="bottom"/>
          </w:tcPr>
          <w:p>
            <w:pPr>
              <w:ind w:left="70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2026</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80" w:type="dxa"/>
            <w:vAlign w:val="bottom"/>
          </w:tcPr>
          <w:p>
            <w:pPr>
              <w:ind w:left="3200"/>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84"/>
              <w:spacing w:after="0" w:line="156" w:lineRule="exact"/>
              <w:rPr>
                <w:sz w:val="20"/>
                <w:szCs w:val="20"/>
                <w:color w:val="auto"/>
              </w:rPr>
            </w:pPr>
            <w:r>
              <w:rPr>
                <w:rFonts w:ascii="Times New Roman" w:cs="Times New Roman" w:eastAsia="Times New Roman" w:hAnsi="Times New Roman"/>
                <w:sz w:val="15"/>
                <w:szCs w:val="15"/>
                <w:color w:val="auto"/>
              </w:rPr>
              <w:t>(unaudited)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Current assets: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0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50,055</w:t>
            </w:r>
          </w:p>
        </w:tc>
        <w:tc>
          <w:tcPr>
            <w:tcW w:w="400" w:type="dxa"/>
            <w:vAlign w:val="bottom"/>
            <w:gridSpan w:val="3"/>
          </w:tcPr>
          <w:p>
            <w:pPr>
              <w:ind w:lef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48,713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 net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27,552</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27,928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Inventories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137,180</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142,931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Derivative assets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and other assets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6,450</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8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221,369</w:t>
            </w:r>
          </w:p>
        </w:tc>
        <w:tc>
          <w:tcPr>
            <w:tcW w:w="260" w:type="dxa"/>
            <w:vAlign w:val="bottom"/>
            <w:tcBorders>
              <w:top w:val="single" w:sz="8" w:color="CCEEFF"/>
            </w:tcBorders>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225,078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Property and equipment: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Land</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1,046</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Building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7,381</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Machinery and equipment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24,261</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26,061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Leasehold improvements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4,269</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36,957</w:t>
            </w:r>
          </w:p>
        </w:tc>
        <w:tc>
          <w:tcPr>
            <w:tcW w:w="260" w:type="dxa"/>
            <w:vAlign w:val="bottom"/>
            <w:tcBorders>
              <w:top w:val="single" w:sz="8" w:color="CCEEFF"/>
            </w:tcBorders>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39,057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(29,601)</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(31,083)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8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property and equipment, net</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7,356</w:t>
            </w:r>
          </w:p>
        </w:tc>
        <w:tc>
          <w:tcPr>
            <w:tcW w:w="260" w:type="dxa"/>
            <w:vAlign w:val="bottom"/>
            <w:tcBorders>
              <w:top w:val="single" w:sz="8" w:color="CCEEFF"/>
            </w:tcBorders>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7,974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Non–current assets: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Software development costs, less accumulated amortization</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8,827</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8,090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Intangible assets, net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379</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lease - right of use assets, net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10,353</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11,560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816</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Investments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9,170</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1,217</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8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non–current assets</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30,762</w:t>
            </w:r>
          </w:p>
        </w:tc>
        <w:tc>
          <w:tcPr>
            <w:tcW w:w="260" w:type="dxa"/>
            <w:vAlign w:val="bottom"/>
            <w:tcBorders>
              <w:top w:val="single" w:sz="8" w:color="CCEEFF"/>
            </w:tcBorders>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31,246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tcPr>
          <w:p>
            <w:pPr>
              <w:ind w:left="220"/>
              <w:spacing w:after="0" w:line="156"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259,487</w:t>
            </w:r>
          </w:p>
        </w:tc>
        <w:tc>
          <w:tcPr>
            <w:tcW w:w="26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264,298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180" w:type="dxa"/>
            <w:vAlign w:val="bottom"/>
            <w:shd w:val="clear" w:color="auto" w:fill="CCEEFF"/>
          </w:tcPr>
          <w:p>
            <w:pPr>
              <w:ind w:left="1820"/>
              <w:spacing w:after="0" w:line="143"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Current liabilities: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gridSpan w:val="2"/>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26,632</w:t>
            </w:r>
          </w:p>
        </w:tc>
        <w:tc>
          <w:tcPr>
            <w:tcW w:w="400" w:type="dxa"/>
            <w:vAlign w:val="bottom"/>
            <w:gridSpan w:val="3"/>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26,074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Customer deposits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7,801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Derivative liabilities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2,707</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4,281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payroll and employee benefits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7,309</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income taxes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1,048</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expenses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3,664</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warranty expenses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984</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8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current liabilities</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54,426</w:t>
            </w:r>
          </w:p>
        </w:tc>
        <w:tc>
          <w:tcPr>
            <w:tcW w:w="260" w:type="dxa"/>
            <w:vAlign w:val="bottom"/>
            <w:tcBorders>
              <w:top w:val="single" w:sz="8" w:color="CCEEFF"/>
            </w:tcBorders>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Non–current liabilities: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tax liability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6,460</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credits and other</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6,155</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5,890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8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non–current liabilities</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12,642</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13,488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Commitment and contingencies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Shareholders’ equity:</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Preferred stock: no par value per share, 1,000,000 shares authorized; no shares issued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718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5"/>
                <w:szCs w:val="15"/>
                <w:color w:val="auto"/>
              </w:rPr>
              <w:t>Common stock: no par value, $.10 stated value per share, 12,500,000 shares authorized; 6,675,629 and</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6,569,224 shares issued and 6,484,478 and 6,402,396 shares outstanding, as of April 30, 2026 and October 31,</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2025, respectively</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w:t>
            </w:r>
          </w:p>
        </w:tc>
        <w:tc>
          <w:tcPr>
            <w:tcW w:w="4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61,637</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60,850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Retained earnings</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140,465</w:t>
            </w:r>
          </w:p>
        </w:tc>
        <w:tc>
          <w:tcPr>
            <w:tcW w:w="400" w:type="dxa"/>
            <w:vAlign w:val="bottom"/>
            <w:gridSpan w:val="3"/>
            <w:shd w:val="clear" w:color="auto" w:fill="CCEEFF"/>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146,305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loss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(10,331)</w:t>
            </w:r>
          </w:p>
        </w:tc>
        <w:tc>
          <w:tcPr>
            <w:tcW w:w="40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80" w:type="dxa"/>
            <w:vAlign w:val="bottom"/>
            <w:tcBorders>
              <w:top w:val="single" w:sz="8" w:color="CCEEFF"/>
            </w:tcBorders>
            <w:shd w:val="clear" w:color="auto" w:fill="CCEEFF"/>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shareholders’ equity</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192,419</w:t>
            </w:r>
          </w:p>
        </w:tc>
        <w:tc>
          <w:tcPr>
            <w:tcW w:w="260" w:type="dxa"/>
            <w:vAlign w:val="bottom"/>
            <w:tcBorders>
              <w:top w:val="single" w:sz="8" w:color="CCEEFF"/>
            </w:tcBorders>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198,787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8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Total liabilities and shareholders’ equity</w:t>
            </w:r>
          </w:p>
        </w:tc>
        <w:tc>
          <w:tcPr>
            <w:tcW w:w="40" w:type="dxa"/>
            <w:vAlign w:val="bottom"/>
          </w:tcPr>
          <w:p>
            <w:pPr>
              <w:spacing w:after="0"/>
              <w:rPr>
                <w:sz w:val="13"/>
                <w:szCs w:val="13"/>
                <w:color w:val="auto"/>
              </w:rPr>
            </w:pP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259,487</w:t>
            </w:r>
          </w:p>
        </w:tc>
        <w:tc>
          <w:tcPr>
            <w:tcW w:w="260" w:type="dxa"/>
            <w:vAlign w:val="bottom"/>
            <w:gridSpan w:val="2"/>
          </w:tcPr>
          <w:p>
            <w:pPr>
              <w:spacing w:after="0"/>
              <w:rPr>
                <w:sz w:val="13"/>
                <w:szCs w:val="13"/>
                <w:color w:val="auto"/>
              </w:rPr>
            </w:pPr>
          </w:p>
        </w:tc>
        <w:tc>
          <w:tcPr>
            <w:tcW w:w="1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264,298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HURCO COMPANIES,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jc w:val="center"/>
              <w:ind w:right="144"/>
              <w:spacing w:after="0" w:line="164"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right="204"/>
              <w:spacing w:after="0" w:line="164"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80" w:type="dxa"/>
            <w:vAlign w:val="bottom"/>
            <w:vMerge w:val="restart"/>
          </w:tcPr>
          <w:p>
            <w:pPr>
              <w:ind w:left="48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rPr>
              <w:t>April 30,</w:t>
            </w:r>
          </w:p>
        </w:tc>
        <w:tc>
          <w:tcPr>
            <w:tcW w:w="720" w:type="dxa"/>
            <w:vAlign w:val="bottom"/>
            <w:tcBorders>
              <w:bottom w:val="single" w:sz="8" w:color="auto"/>
            </w:tcBorders>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5"/>
                <w:szCs w:val="15"/>
                <w:b w:val="1"/>
                <w:bCs w:val="1"/>
                <w:color w:val="auto"/>
              </w:rPr>
              <w:t>April 30,</w:t>
            </w: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2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24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5"/>
                <w:szCs w:val="15"/>
                <w:color w:val="auto"/>
              </w:rPr>
              <w:t>(unaudited)</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center"/>
              <w:ind w:left="464"/>
              <w:spacing w:after="0" w:line="142" w:lineRule="exact"/>
              <w:rPr>
                <w:sz w:val="20"/>
                <w:szCs w:val="20"/>
                <w:color w:val="auto"/>
              </w:rPr>
            </w:pPr>
            <w:r>
              <w:rPr>
                <w:rFonts w:ascii="Times New Roman" w:cs="Times New Roman" w:eastAsia="Times New Roman" w:hAnsi="Times New Roman"/>
                <w:sz w:val="15"/>
                <w:szCs w:val="15"/>
                <w:color w:val="auto"/>
              </w:rPr>
              <w:t>(unaudited)</w:t>
            </w:r>
          </w:p>
        </w:tc>
        <w:tc>
          <w:tcPr>
            <w:tcW w:w="76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Net (loss) income</w:t>
            </w:r>
          </w:p>
        </w:tc>
        <w:tc>
          <w:tcPr>
            <w:tcW w:w="2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(2,372)</w:t>
            </w:r>
          </w:p>
        </w:tc>
        <w:tc>
          <w:tcPr>
            <w:tcW w:w="5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(4,063)</w:t>
            </w:r>
          </w:p>
        </w:tc>
        <w:tc>
          <w:tcPr>
            <w:tcW w:w="4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(5,840)</w:t>
            </w:r>
          </w:p>
        </w:tc>
        <w:tc>
          <w:tcPr>
            <w:tcW w:w="5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8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5"/>
                <w:szCs w:val="15"/>
                <w:color w:val="auto"/>
              </w:rPr>
              <w:t>Adjustments to reconcile net (loss) income to net cash provided by (used</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 operating activities:</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Provision for doubtful accounts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(2,186)</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Deferred income tax valuation allowance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980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1,270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2,122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Equity in (income) loss of affiliates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Foreign currency (gain) loss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(1,592)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Unrealized (gain) loss on derivatives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(288)</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(1,155)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(604)</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517</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648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1,086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475</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467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1,066</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Change in assets and liabilities: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accounts receivable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(1,937)</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3,855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(279)</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11,392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inventories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3,133</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6,194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prepaid and other assets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520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(1,485)</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accounts payable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929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customer deposits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2,375</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219</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3,081</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accrued expenses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accrued payroll and employee benefits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1,044</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698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Increase (decrease) in accrued income tax</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(632)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change in deferred tax assets and liabilities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142</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266</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Net change in derivative assets and liabilities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261</w:t>
            </w: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(295)</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2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Borders>
              <w:bottom w:val="single" w:sz="8" w:color="CCEEFF"/>
            </w:tcBorders>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(used for) operating activities</w:t>
            </w: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2,138</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997</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1,522</w:t>
            </w: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11,334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151</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151</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Purchase of property and equipment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Software development costs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(550)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(492)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(1,089)</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Cash received from sale of a business</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1,165</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shd w:val="clear" w:color="auto" w:fill="CCEEFF"/>
          </w:tcPr>
          <w:p>
            <w:pPr>
              <w:ind w:left="100"/>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(used for) investing activities</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(577)</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(800)</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w:t>
            </w:r>
          </w:p>
        </w:tc>
        <w:tc>
          <w:tcPr>
            <w:tcW w:w="2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Taxes paid related to net settlement of restricted shares</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(271)</w:t>
            </w: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(used for) financing activities</w:t>
            </w:r>
          </w:p>
        </w:tc>
        <w:tc>
          <w:tcPr>
            <w:tcW w:w="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(271)</w:t>
            </w:r>
          </w:p>
        </w:tc>
        <w:tc>
          <w:tcPr>
            <w:tcW w:w="2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Effect of exchange rate changes on cash and cash equivalents</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483</w:t>
            </w: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1,790</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2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2,044</w:t>
            </w: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1,987</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1,342</w:t>
            </w:r>
          </w:p>
        </w:tc>
        <w:tc>
          <w:tcPr>
            <w:tcW w:w="2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10,477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and cash equivalents at beginning of period</w:t>
            </w: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48,011</w:t>
            </w:r>
          </w:p>
        </w:tc>
        <w:tc>
          <w:tcPr>
            <w:tcW w:w="2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41,820</w:t>
            </w:r>
          </w:p>
        </w:tc>
        <w:tc>
          <w:tcPr>
            <w:tcW w:w="2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48,713</w:t>
            </w:r>
          </w:p>
        </w:tc>
        <w:tc>
          <w:tcPr>
            <w:tcW w:w="2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33,330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and cash equivalents at end of period</w:t>
            </w:r>
          </w:p>
        </w:tc>
        <w:tc>
          <w:tcPr>
            <w:tcW w:w="2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50,055</w:t>
            </w:r>
          </w:p>
        </w:tc>
        <w:tc>
          <w:tcPr>
            <w:tcW w:w="5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43,807</w:t>
            </w:r>
          </w:p>
        </w:tc>
        <w:tc>
          <w:tcPr>
            <w:tcW w:w="4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50,055</w:t>
            </w:r>
          </w:p>
        </w:tc>
        <w:tc>
          <w:tcPr>
            <w:tcW w:w="5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43,807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Supplemental disclosures: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paid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Interest</w:t>
            </w:r>
          </w:p>
        </w:tc>
        <w:tc>
          <w:tcPr>
            <w:tcW w:w="24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Income taxes, net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HURCO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 outstanding)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11"/>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 2026 and 2025</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200" w:type="dxa"/>
            <w:vAlign w:val="bottom"/>
          </w:tcPr>
          <w:p>
            <w:pPr>
              <w:spacing w:after="0"/>
              <w:rPr>
                <w:sz w:val="16"/>
                <w:szCs w:val="16"/>
                <w:color w:val="auto"/>
              </w:rPr>
            </w:pPr>
          </w:p>
        </w:tc>
        <w:tc>
          <w:tcPr>
            <w:tcW w:w="8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6"/>
                <w:szCs w:val="16"/>
                <w:color w:val="auto"/>
              </w:rPr>
            </w:pPr>
          </w:p>
        </w:tc>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w:t>
            </w:r>
          </w:p>
        </w:tc>
        <w:tc>
          <w:tcPr>
            <w:tcW w:w="22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Amount</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Earnings</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Income (Loss)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January 31, 2025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6,483,990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$ 198,143</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valuation allowances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net of</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for vested restricted shares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April 30, 2025</w:t>
            </w:r>
          </w:p>
        </w:tc>
        <w:tc>
          <w:tcPr>
            <w:tcW w:w="14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6,506,868</w:t>
            </w:r>
          </w:p>
        </w:tc>
        <w:tc>
          <w:tcPr>
            <w:tcW w:w="2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62,192</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153,039</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180" w:type="dxa"/>
            <w:vAlign w:val="bottom"/>
          </w:tcPr>
          <w:p>
            <w:pPr>
              <w:spacing w:after="0"/>
              <w:rPr>
                <w:sz w:val="21"/>
                <w:szCs w:val="21"/>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$ 202,280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January 31, 2026</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6,446,454</w:t>
            </w:r>
          </w:p>
        </w:tc>
        <w:tc>
          <w:tcPr>
            <w:tcW w:w="200" w:type="dxa"/>
            <w:vAlign w:val="bottom"/>
          </w:tcPr>
          <w:p>
            <w:pPr>
              <w:spacing w:after="0"/>
              <w:rPr>
                <w:sz w:val="21"/>
                <w:szCs w:val="21"/>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61,165</w:t>
            </w:r>
          </w:p>
        </w:tc>
        <w:tc>
          <w:tcPr>
            <w:tcW w:w="2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142,837</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80" w:type="dxa"/>
            <w:vAlign w:val="bottom"/>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$ 195,031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valuation allowances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net of</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withheld for vested restricted 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38,024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April 30, 2026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6,484,478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$ 192,419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0"/>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Six Months Ended April 30, 2026 and 2025</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200" w:type="dxa"/>
            <w:vAlign w:val="bottom"/>
          </w:tcPr>
          <w:p>
            <w:pPr>
              <w:spacing w:after="0"/>
              <w:rPr>
                <w:sz w:val="16"/>
                <w:szCs w:val="16"/>
                <w:color w:val="auto"/>
              </w:rPr>
            </w:pPr>
          </w:p>
        </w:tc>
        <w:tc>
          <w:tcPr>
            <w:tcW w:w="8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6"/>
                <w:szCs w:val="16"/>
                <w:color w:val="auto"/>
              </w:rPr>
            </w:pPr>
          </w:p>
        </w:tc>
        <w:tc>
          <w:tcPr>
            <w:tcW w:w="12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Amount</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Earnings</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Income (Loss)</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October 31, 2024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6,435,624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$ 207,172</w:t>
            </w: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valuation allowances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net of</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withheld for vested restricted shares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71,244</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50"/>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April 30, 2025</w:t>
            </w:r>
          </w:p>
        </w:tc>
        <w:tc>
          <w:tcPr>
            <w:tcW w:w="14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6,506,868</w:t>
            </w:r>
          </w:p>
        </w:tc>
        <w:tc>
          <w:tcPr>
            <w:tcW w:w="2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62,192</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153,039</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(13,602)</w:t>
            </w:r>
          </w:p>
        </w:tc>
        <w:tc>
          <w:tcPr>
            <w:tcW w:w="180" w:type="dxa"/>
            <w:vAlign w:val="bottom"/>
          </w:tcPr>
          <w:p>
            <w:pPr>
              <w:spacing w:after="0"/>
              <w:rPr>
                <w:sz w:val="21"/>
                <w:szCs w:val="21"/>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$ 202,280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October 31, 2025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6,402,396</w:t>
            </w:r>
          </w:p>
        </w:tc>
        <w:tc>
          <w:tcPr>
            <w:tcW w:w="64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146,305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$ 198,787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(5,840)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valuation allowances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net of</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withheld for vested restricted 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82,082</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April 30, 2026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6,484,478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$ 192,419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Hurco Companies, Inc. and its consolidated subsidiaries. As used in this report, the words “we”, “us”, “our”, “Hurco” and the “Company” refer to Hurco Companies, Inc. and its consolidated subsidiaries.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design, manufacture, and sell computerized (i.e., Computer Numeric Control (“CNC”)) machine tools, consisting primarily of vertical machining centers (mills) and turning centers (lathes), to companies in the metal cutting industry through a worldwide sales, service, and distribution network. Although most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training, and applications support.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information as of April 30, 2026, and for the three and six months ended April 30, 2026, and April 30, 2025, is unaudited. However, in our opinion, the interim data includes all adjustments, consisting only of normal recurring adjustments, necessary to present fairly our consolidated financial position, results of operations, changes in shareholders’ equity and cash flows for and at the end of the interim periods. We suggest that you read these Condensed Consolidated Financial Statements in conjunction with the financial statements and the notes thereto included in our Annual Report on Form 10-K for the year ended October 31, 2025.</w:t>
      </w:r>
    </w:p>
    <w:p>
      <w:pPr>
        <w:spacing w:after="0" w:line="18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manufacture, and sell computerized machine tools.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training, and applications support.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revenues from the sale of machine tools, components and accessories and services, and reflect the consideration to which we expect to be entitled. We record revenues based on a five-step model in accordance with Financial Accounting Standards Board (“FASB”) guidance codified in Accounting Standards Codification (“ASC”) 606, “Revenue from Contracts with Customers” (“ASC 606”). In accordance with ASC 606, we have defined contracts as agreements with our customers and distributors in the form of purchase orders, packing or shipping documents, invoices, and, periodically, verbal requests for components and accessories. For each contract, we identify our performance obligations, which are delivering goods or services, determine the transaction price, allocate the contract transaction price to each of the performance obligations (when applicable), and recognize the revenue when (or as) the performance obligation to the customer is fulfilled. A good or service is transferred when the customer obtains control of that good or service. Our computerized machine tools are general purpose computer-controlled machine tools that are typically used in stand–alone operations. Prior to shipment, we test each machine to ensure the machine’s compliance with standard operating specifications. We deem that the customer obtains control upon delivery of the product and that obtaining control is not contingent upon contractual customer acceptance. Therefore, we recognize revenue from sales of our machine tool systems upon delivery of the product to the customer or distributor, which is normally at the time of shipment.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upon geographic location, after shipment, a machine may be installed at the customer’s facility by a distributor, independent contractor, or by one of our service technicians. In most instances where a machine is sold through a distributor, we have no installation involvement. If sales are direct or through sales agents, we will typically complete the machine installation, which consists of the reassembly of certain parts that were removed for shipping and the re-testing of the machine to ensure that it is performing within the standard specifications. We consider the machine installation process for our 3-axis machines to be inconsequential and immaterial within the context of the contract. For our 5-axis machines that we install, we estimate the fair value of the installation performance obligation and recognize that installation revenue on a prorata basis over the period of the installation process.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and depending upon geographic location, we may provide training or freight services. We consider these services to be immaterial within the context of the contract, as the value of these services typically does not rise to a material level as a component of the total contract value. Service fees from maintenance contracts are deferred and recognized in earnings on a prorata basis over the term of the contract and are generally sold on a stand-alone basis. Customer discounts and estimated product returns are recorded as a reduction of revenue in the same period that the related sales are recorded. We have reviewed the overall sales transactions for variable consideration and have determined that these amounts are not material.</w:t>
      </w:r>
    </w:p>
    <w:p>
      <w:pPr>
        <w:spacing w:after="0" w:line="187"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certain market risks relating to our ongoing business operations, including foreign currency risk, interest rate risk and credit risk. We manage our exposure to these and other market risks through regular operating and financing activities. Currently, the only risk that we manage through the use of derivative instruments is foreign currency risk, for which we enter into derivative instruments in the form of foreign currency forward exchange contracts with a major financial institution.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these forward exchange contracts to reduce the potential effects of foreign exchange rate movements on our net equity investment in one of our foreign subsidiaries, to reduce the impact on gross profit and net earnings from sales and purchases denominated in foreign currencies, and to reduce the impact on our net earnings of foreign currency fluctuations on receivables and payables denominated in foreign currencies that are different than the subsidiaries’ functional currency. We are primarily exposed to foreign currency exchange rate risk with respect to transactions and net assets denominated in Euros, Pounds Sterling, Indian Rupee, Singapore Dollars, Chinese Yuan, Polish Zloty, and New Taiwan Dollars. We record all derivative instruments as assets or liabilities at fair value.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Designated as Hedging Instruments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 into foreign currency forward exchange contracts periodically to hedge certain forecasted inter-company sales and purchases denominated in the following foreign currencies: the Pound Sterling, Euro and New Taiwan Dollar. The purpose of these instruments is to mitigate the risk that the U.S. dollar net cash inflows and outflows resulting from sales and purchases denominated in foreign currencies will be adversely affected by changes in exchange rates. These forward contracts have been designated as cash flow hedge instruments and are recorded in the Condensed Consolidated Balance Sheets at fair value in Derivative assets and Derivative liabilities. The effective portion of the gains and losses resulting from the changes in the fair value of these hedge contracts is deferred in Accumulated other comprehensive loss and recognized as an adjustment to Cost of sales and service in the period that the corresponding inventory sold that is the subject of the related hedge contract is recognized, thereby providing an offsetting economic impact against the corresponding change in the U.S. dollar value of the inter-company sale or purchase being hedged. The ineffective portion of gains and losses resulting from the changes in the fair value of these hedge contracts is immediately reported in Other income (expense), net. We perform quarterly assessments of hedge effectiveness by verifying and documenting the critical terms of the hedge instrument and determining that forecasted transactions have not changed significantly. We also assess on a quarterly basis whether there have been adverse developments regarding the risk of a counterparty default.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forward contracts outstanding as of April 30, 2026, denominated in Euros, Pounds Sterling, and New Taiwan Dollars with set maturity dates ranging from May 2026 through April 2027. The contract amounts, expressed at forward rates in U.S. dollars at April 30, 2026, were $8.5 million for Euros, $5.9 million for Pounds Sterling, and $21.7 million for New Taiwan Dollars. At April 30, 2026, we had $0.9 million of realized loss, net of tax, related to cash flow hedges deferred in Accumulated other comprehensive loss. Included in this amount was $0.8 million of unrealized loss, net of tax, related to cash flow hedge instruments that remain subject to currency fluctuation risk. The majority of these deferred losses will be recorded as an adjustment to Cost of sales and service in periods through April 2027, when the corresponding inventory that is the subject of the related hedge contracts is sold, as described above.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exposed to foreign currency exchange risk related to our investment in net assets in foreign countries. To manage this risk, we entered into a forward contract with a notional amount of €3.0 million in November 2025. We designated this forward contract as a hedge of our net investment in Euro denominated assets. We selected the forward method under FASB guidance related to the accounting for derivative instruments and hedging activities. The forward method requires all changes in the fair value of the contract to be reported as a cumulative translation adjustment in Accumulated other comprehensive loss, net of tax, in the same manner as the underlying hedged net assets. This forward contract matures in November 2026. As of April 30, 2026, we had a realized gain of $1.0 million and an unrealized loss of less than $0.1 million, net of tax, recorded as cumulative translation adjustments in Accumulated other comprehensive loss related to this forward contract.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Not Designated as Hedging Instruments</w:t>
      </w:r>
    </w:p>
    <w:p>
      <w:pPr>
        <w:spacing w:after="0" w:line="2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also enter into foreign currency forward exchange contracts to protect against the effects of foreign currency fluctuations on inter-company receivables, payables and loans denominated in foreign currencies. These derivative instruments are not designated as hedges under FASB guidance and, as a result, changes in their fair value are reported currently in Other income (expense), net in the Condensed Consolidated Statements of Operations consistent with the transaction gain or loss on the related receivables and payables denominated in foreign currencies.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had forward contracts outstanding as of April 30, 2026, denominated in Euros, Pounds Sterling, and New Taiwan Dollars with set maturity dates ranging from May 2026 through February 2027. The contract amounts, expressed at forward rates in U.S. dollars at April 30, 2026, totaled $55.5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Derivative Instruments</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recognize the fair value of derivative instruments as assets and liabilities on a gross basis on our Condensed Consolidated Balance Sheets. As of April 30, 2026, and October 31, 2025, all derivative instruments were recorded at fair value on our Condensed Consolidated Balance Sheets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169"/>
        </w:trPr>
        <w:tc>
          <w:tcPr>
            <w:tcW w:w="404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Designated as Hedging Instruments:</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6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Not Designated as Hedging Instruments:</w:t>
            </w:r>
          </w:p>
        </w:tc>
        <w:tc>
          <w:tcPr>
            <w:tcW w:w="1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Derivative assets</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1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Derivative liabilities</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Effect of Derivative Instruments on the Condensed Consolidated Balance Sheets, Condensed Consolidated Statements of Changes in Shareholders’ Equity and Condensed Consolidated Statements of Operations</w:t>
      </w:r>
    </w:p>
    <w:p>
      <w:pPr>
        <w:spacing w:after="0" w:line="162"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Derivative instruments had the following effects on our Condensed Consolidated Balance Sheets, Condensed Consolidated Statements of Changes in Shareholders’ Equity, and Condensed Consolidated Statements of Operations, net of tax, during the three months ended April 30, 2026 and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 of Gain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200" w:type="dxa"/>
            <w:vAlign w:val="bottom"/>
          </w:tcPr>
          <w:p>
            <w:pPr>
              <w:spacing w:after="0"/>
              <w:rPr>
                <w:sz w:val="18"/>
                <w:szCs w:val="18"/>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Recognized in Other</w:t>
            </w:r>
          </w:p>
        </w:tc>
        <w:tc>
          <w:tcPr>
            <w:tcW w:w="200" w:type="dxa"/>
            <w:vAlign w:val="bottom"/>
          </w:tcPr>
          <w:p>
            <w:pPr>
              <w:spacing w:after="0"/>
              <w:rPr>
                <w:sz w:val="18"/>
                <w:szCs w:val="18"/>
                <w:color w:val="auto"/>
              </w:rPr>
            </w:pP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from 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from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20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0" w:type="dxa"/>
            <w:vAlign w:val="bottom"/>
          </w:tcPr>
          <w:p>
            <w:pPr>
              <w:spacing w:after="0"/>
              <w:rPr>
                <w:sz w:val="1"/>
                <w:szCs w:val="1"/>
                <w:color w:val="auto"/>
              </w:rPr>
            </w:pPr>
          </w:p>
        </w:tc>
      </w:tr>
      <w:tr>
        <w:trPr>
          <w:trHeight w:val="238"/>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4"/>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4"/>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8"/>
              </w:rPr>
              <w:t>Three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8"/>
              </w:rPr>
              <w:t>April 30,</w:t>
            </w:r>
          </w:p>
        </w:tc>
        <w:tc>
          <w:tcPr>
            <w:tcW w:w="740" w:type="dxa"/>
            <w:vAlign w:val="bottom"/>
            <w:tcBorders>
              <w:bottom w:val="single" w:sz="8" w:color="auto"/>
            </w:tcBorders>
          </w:tcPr>
          <w:p>
            <w:pPr>
              <w:spacing w:after="0"/>
              <w:rPr>
                <w:sz w:val="20"/>
                <w:szCs w:val="20"/>
                <w:color w:val="auto"/>
              </w:rPr>
            </w:pP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rPr>
              <w:t>April 30,</w:t>
            </w: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Designated as Hedging Instruments:</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(Effective portion)</w:t>
            </w:r>
          </w:p>
        </w:tc>
        <w:tc>
          <w:tcPr>
            <w:tcW w:w="8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gridSpan w:val="2"/>
          </w:tcPr>
          <w:p>
            <w:pPr>
              <w:jc w:val="right"/>
              <w:ind w:right="4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560" w:type="dxa"/>
            <w:vAlign w:val="bottom"/>
            <w:tcBorders>
              <w:top w:val="single" w:sz="8" w:color="CCEEFF"/>
            </w:tcBorders>
            <w:gridSpan w:val="2"/>
          </w:tcPr>
          <w:p>
            <w:pPr>
              <w:ind w:left="15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Cost of sales and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Intercompany sales/purchases</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Foreign exchange forward contract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Net investment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20"/>
                <w:szCs w:val="20"/>
                <w:color w:val="auto"/>
              </w:rPr>
            </w:pPr>
          </w:p>
        </w:tc>
        <w:tc>
          <w:tcPr>
            <w:tcW w:w="15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did not recognize any gains or losses as a result of hedges deemed ineffective for either of the three months ended April 30, 2026 or 2025. We recognized the following gains and losses in our Condensed Consolidated Statements of Operations during the three months ended April 30, 2026 and 2025, on derivative instruments not designated as hedging instruments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 Recognized</w:t>
            </w:r>
          </w:p>
        </w:tc>
        <w:tc>
          <w:tcPr>
            <w:tcW w:w="40" w:type="dxa"/>
            <w:vAlign w:val="bottom"/>
          </w:tcPr>
          <w:p>
            <w:pPr>
              <w:spacing w:after="0"/>
              <w:rPr>
                <w:sz w:val="18"/>
                <w:szCs w:val="18"/>
                <w:color w:val="auto"/>
              </w:rPr>
            </w:pPr>
          </w:p>
        </w:tc>
        <w:tc>
          <w:tcPr>
            <w:tcW w:w="29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0" w:type="dxa"/>
            <w:vAlign w:val="bottom"/>
          </w:tcPr>
          <w:p>
            <w:pPr>
              <w:spacing w:after="0"/>
              <w:rPr>
                <w:sz w:val="1"/>
                <w:szCs w:val="1"/>
                <w:color w:val="auto"/>
              </w:rPr>
            </w:pPr>
          </w:p>
        </w:tc>
      </w:tr>
      <w:tr>
        <w:trPr>
          <w:trHeight w:val="238"/>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1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in Operations</w:t>
            </w:r>
          </w:p>
        </w:tc>
        <w:tc>
          <w:tcPr>
            <w:tcW w:w="40" w:type="dxa"/>
            <w:vAlign w:val="bottom"/>
          </w:tcPr>
          <w:p>
            <w:pPr>
              <w:spacing w:after="0"/>
              <w:rPr>
                <w:sz w:val="20"/>
                <w:szCs w:val="20"/>
                <w:color w:val="auto"/>
              </w:rPr>
            </w:pPr>
          </w:p>
        </w:tc>
        <w:tc>
          <w:tcPr>
            <w:tcW w:w="29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Operations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40" w:type="dxa"/>
            <w:vAlign w:val="bottom"/>
            <w:tcBorders>
              <w:top w:val="single" w:sz="8" w:color="auto"/>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April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2920" w:type="dxa"/>
            <w:vAlign w:val="bottom"/>
            <w:tcBorders>
              <w:top w:val="single" w:sz="8" w:color="CCEEFF"/>
              <w:bottom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Not Designated as Hedging Instruments:</w:t>
            </w: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180" w:type="dxa"/>
            <w:vAlign w:val="bottom"/>
            <w:tcBorders>
              <w:top w:val="single" w:sz="8" w:color="CCEEFF"/>
              <w:bottom w:val="single" w:sz="8" w:color="CCEEFF"/>
            </w:tcBorders>
            <w:gridSpan w:val="2"/>
            <w:shd w:val="clear" w:color="auto" w:fill="CCEEFF"/>
          </w:tcPr>
          <w:p>
            <w:pPr>
              <w:ind w:left="100"/>
              <w:spacing w:after="0" w:line="136"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60" w:type="dxa"/>
            <w:vAlign w:val="bottom"/>
          </w:tcPr>
          <w:p>
            <w:pPr>
              <w:spacing w:after="0"/>
              <w:rPr>
                <w:sz w:val="20"/>
                <w:szCs w:val="20"/>
                <w:color w:val="auto"/>
              </w:rPr>
            </w:pPr>
          </w:p>
        </w:tc>
        <w:tc>
          <w:tcPr>
            <w:tcW w:w="3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loss, net of tax, for the three months ended April 30, 2026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542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31,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valuation allowances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April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Derivative instruments had the following effects on our Condensed Consolidated Balance Sheets, Condensed Consolidated Statements of Changes in Shareholders’ Equity, and Condensed Consolidated Statements of Operations, net of tax, during the six months ended April 30, 2026 and 2025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Amount of Gain</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200" w:type="dxa"/>
            <w:vAlign w:val="bottom"/>
          </w:tcPr>
          <w:p>
            <w:pPr>
              <w:spacing w:after="0"/>
              <w:rPr>
                <w:sz w:val="18"/>
                <w:szCs w:val="18"/>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 Reclassified</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Recognized in Other</w:t>
            </w:r>
          </w:p>
        </w:tc>
        <w:tc>
          <w:tcPr>
            <w:tcW w:w="20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from Other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from Other</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8"/>
                <w:szCs w:val="18"/>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4"/>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Six Months Ended</w:t>
            </w:r>
          </w:p>
        </w:tc>
        <w:tc>
          <w:tcPr>
            <w:tcW w:w="2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4"/>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Six Months Ended</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8"/>
              </w:rPr>
              <w:t>April 30,</w:t>
            </w:r>
          </w:p>
        </w:tc>
        <w:tc>
          <w:tcPr>
            <w:tcW w:w="720" w:type="dxa"/>
            <w:vAlign w:val="bottom"/>
            <w:tcBorders>
              <w:bottom w:val="single" w:sz="8" w:color="auto"/>
            </w:tcBorders>
          </w:tcPr>
          <w:p>
            <w:pPr>
              <w:spacing w:after="0"/>
              <w:rPr>
                <w:sz w:val="20"/>
                <w:szCs w:val="20"/>
                <w:color w:val="auto"/>
              </w:rPr>
            </w:pP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April 30,</w:t>
            </w:r>
          </w:p>
        </w:tc>
        <w:tc>
          <w:tcPr>
            <w:tcW w:w="720" w:type="dxa"/>
            <w:vAlign w:val="bottom"/>
            <w:tcBorders>
              <w:bottom w:val="single" w:sz="8" w:color="auto"/>
            </w:tcBorders>
          </w:tcPr>
          <w:p>
            <w:pPr>
              <w:spacing w:after="0"/>
              <w:rPr>
                <w:sz w:val="20"/>
                <w:szCs w:val="20"/>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300" w:type="dxa"/>
            <w:vAlign w:val="bottom"/>
            <w:gridSpan w:val="4"/>
            <w:vMerge w:val="continue"/>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gridSpan w:val="3"/>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8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Designated as Hedging Instruments:</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(Effective Portion)</w:t>
            </w:r>
          </w:p>
        </w:tc>
        <w:tc>
          <w:tcPr>
            <w:tcW w:w="6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gridSpan w:val="2"/>
          </w:tcPr>
          <w:p>
            <w:pPr>
              <w:jc w:val="right"/>
              <w:ind w:right="4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560" w:type="dxa"/>
            <w:vAlign w:val="bottom"/>
            <w:tcBorders>
              <w:top w:val="single" w:sz="8" w:color="CCEEFF"/>
            </w:tcBorders>
            <w:gridSpan w:val="2"/>
          </w:tcPr>
          <w:p>
            <w:pPr>
              <w:ind w:left="15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exchange forward contracts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Cost of sales and</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Intercompany sales/purchases</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Foreign exchange forward contract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Net investment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20"/>
                <w:szCs w:val="20"/>
                <w:color w:val="auto"/>
              </w:rPr>
            </w:pPr>
          </w:p>
        </w:tc>
        <w:tc>
          <w:tcPr>
            <w:tcW w:w="15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did not recognize any gains or losses as a result of hedges deemed ineffective for either of the six months ended April 30, 2026 or 2025. We recognized the following gains and losses in our Condensed Consolidated Statements of Operations during the six months ended April 30, 2026 and 2025, on derivative instruments not designated as hedging instruments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128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Location of Gain</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(Loss) Recognized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Amount of Gain (Loss)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28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Operations</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Recognized in Operations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8"/>
              </w:rPr>
              <w:t>April 30,</w:t>
            </w:r>
          </w:p>
        </w:tc>
        <w:tc>
          <w:tcPr>
            <w:tcW w:w="960" w:type="dxa"/>
            <w:vAlign w:val="bottom"/>
            <w:tcBorders>
              <w:bottom w:val="single" w:sz="8" w:color="auto"/>
            </w:tcBorders>
          </w:tcPr>
          <w:p>
            <w:pPr>
              <w:spacing w:after="0"/>
              <w:rPr>
                <w:sz w:val="20"/>
                <w:szCs w:val="20"/>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vMerge w:val="continue"/>
          </w:tcPr>
          <w:p>
            <w:pPr>
              <w:spacing w:after="0"/>
              <w:rPr>
                <w:sz w:val="18"/>
                <w:szCs w:val="18"/>
                <w:color w:val="auto"/>
              </w:rPr>
            </w:pPr>
          </w:p>
        </w:tc>
        <w:tc>
          <w:tcPr>
            <w:tcW w:w="306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Designated as Hedging Instruments:</w:t>
            </w:r>
          </w:p>
        </w:tc>
        <w:tc>
          <w:tcPr>
            <w:tcW w:w="2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loss, net of tax, for the six months ended April 30, 2026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Cash</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Flow</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ind w:left="5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October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2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 valuation allowances</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April 30,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2016, we adopted the Hurco Companies, Inc. 2016 Equity Incentive Plan (as amended, the “2016 Equity Plan”), which allows us to grant awards of stock options, stock appreciation rights, restricted stock, stock units and other stock-based awards. The 2016 Equity Plan replaced the Hurco Companies, Inc. 2008 Equity Incentive Plan (the “2008 Equity Plan”) and is the only active plan under which equity awards may be made by us to our employees and non-employee directors. No further awards will be made under our 2008 Equity Plan. The total number of shares of our common stock that may be issued pursuant to awards under the 2016 Equity Plan was initially 856,048, which included 386,048 shares that remained available for future grants under the 2008 Equity Plan as of March 10, 2016, the date our shareholders approved the 2016 Equity Plan. On March 10, 2022, our shareholders approved the Amended and Restated Hurco Companies, Inc. 2016 Equity Incentive Plan, which, among other items, increased the aggregate number of shares that may be issued under the 2016 Equity Plan by 850,000 shares. On March 13, 2025, our shareholders approved an amendment to the 2016 Equity Plan, which increased the aggregate number of shares that may be issued thereunder by an additional 850,000 shares.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of our Board of Directors has the authority to determine the officers, directors, and key employees who will be granted awards under the 2016 Equity Plan; designate the number of shares subject to each award; determine the terms and conditions upon which awards will be granted; and prescribe the form and terms of award agreements. We have granted restricted shares and performance stock units under the 2016 Equity Plan that are currently outstanding. The market value of a share of our common stock, for purposes of the 2016 Equity Plan, is the closing sale price as reported by the Nasdaq Global Select Market on the date in question or, if not a trading day, on the last preceding trading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12, 2026, the Compensation Committee granted a total of 38,024 shares of time-based restricted stock to our non-employee directors. The restricted shares vest in full one year from the date of grant provided the recipient remains on the board of directors through that date. The grant date fair value of the restricted shares was based on the closing sales price of our common stock on the grant date, which was $14.725 per share.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6, 2026, the Compensation Committee approved a long-term incentive compensation arrangement for our executive officers in the form of time-based restricted shares and performance stock units (“PSUs”), which will be payable in shares of our common stock if earned and vested. The awards were approximately 45% time-based vesting and approximately 55% performance-based vesting. The three-year performance period for the PSUs is fiscal year 2026 through fiscal year 2028.</w:t>
      </w:r>
    </w:p>
    <w:p>
      <w:pPr>
        <w:sectPr>
          <w:pgSz w:w="11900" w:h="16838" w:orient="portrait"/>
          <w:cols w:equalWidth="0" w:num="1">
            <w:col w:w="9920"/>
          </w:cols>
          <w:pgMar w:left="980" w:top="50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that date, the Compensation Committee granted a total of 66,491 shares of time-based restricted stock to our executive officers. The restricted shares vest in thirds over three years from the date of grant provided the recipient continues service with the company through that date. The grant date fair value of the restricted shares was based upon the closing sales price of our common stock on the date of grant, which was $16.29 per share.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6, 2026, the Compensation Committee also granted a total target number of 44,327 PSUs to our executive officers designated as “PSU – NI”. These PSUs were weighted as approximately 30% of the overall 2026 executive long-term incentive compensation arrangement and will vest and be paid based upon the achievement of pre-established goals related to our average net income over the three-year period of fiscal years 2026-2028. Participants will have the ability to earn between 50% of the target number of the PSUs – NI for achieving threshold performance and 200% of the target number of the PSUs – NI for achieving maximum performance. The grant date fair value of the PSUs – NI was based on the closing sales price of our common stock on the grant date, which was $16.29 per PSU.</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6, 2026, the Compensation Committee also granted a total target number of 36,940 PSUs to our executive officers designated as “PSU – FCF”. These PSUs were weighted as approximately 25% of the overall 2026 executive long-term incentive compensation arrangement and will vest and be paid based upon the achievement of pre-established goals related to our average free cash flow over the three-year period of fiscal years 2026-2028. Participants will have the ability to earn between 50% of the target number of the PSUs – FCF for achieving threshold performance and 200% of the target number of the PSUs – FCF for achieving maximum performance. The grant date fair value of the PSUs – FCF was based on the closing sales price of our common stock on the grant date, which was $16.29 per PSU.</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12, 2025, the Compensation Committee granted a total of 20,260 shares of time-based restricted stock to our non-executive employees. The restricted shares vest in thirds over three years from the date of grant provided the recipient continues service with the company through that date. The grant date fair value of the restricted shares was based upon the closing sales price of our common stock on the date of grant, which was $16.65 per share.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our restricted stock and PSU activity and related information for the six-month period ended April 30, 2026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Weighted Average Grant</w:t>
            </w:r>
          </w:p>
        </w:tc>
      </w:tr>
      <w:tr>
        <w:trPr>
          <w:trHeight w:val="238"/>
        </w:trPr>
        <w:tc>
          <w:tcPr>
            <w:tcW w:w="448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600" w:type="dxa"/>
            <w:vAlign w:val="bottom"/>
            <w:gridSpan w:val="3"/>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October 31, 2025</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456,496</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or units granted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or units vested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or units cancelled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April 30, 2026</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482,113</w:t>
            </w:r>
          </w:p>
        </w:tc>
        <w:tc>
          <w:tcPr>
            <w:tcW w:w="32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0"/>
        </w:trPr>
        <w:tc>
          <w:tcPr>
            <w:tcW w:w="448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six months of each of fiscal years 2026 and 2025, we recorded approximately $1.1 million of stock-based compensation expense related to grants under the 2016 Equity Plan. As of April 30, 2026, there was an estimated $3.6 million of total unrecognized stock-based compensation cost that we expect to recognize by the end of the first quarter of fiscal year 2029.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(LOSS) PER SHARE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 share results have been computed based on the average number of common shares outstanding over the period in question. The computation of basic and diluted net income (loss) per share is determined using net income (loss) applicable to common shareholders as the numerator and the number of shares outstanding as the denominator as follows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Basic</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Diluted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Basic</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Basic</w:t>
            </w:r>
          </w:p>
        </w:tc>
        <w:tc>
          <w:tcPr>
            <w:tcW w:w="9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 Diluted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Undistributed earnings allocated to</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participating shares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income applicable to</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options and contingently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issuable securities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per share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April 30, 2026 and April 30, 2025, there were an immaterial number of stock options and contingently issuable securities that were excluded from the diluted loss per share calculation because they were anti-dilutive due to the net loss in those periods.</w:t>
      </w:r>
    </w:p>
    <w:p>
      <w:pPr>
        <w:spacing w:after="0" w:line="2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ACCOUNTS RECEIVABLE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is net of provision for credit losses of $1.3 million and $1.2 million as of April 30, 2026, and October 31, 2025, respectively.</w:t>
      </w:r>
    </w:p>
    <w:p>
      <w:pPr>
        <w:spacing w:after="0" w:line="16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priced at the lower of cost (first-in, first-out method) or net realizable value, are summarized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parts and sub–assemblies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35,322</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90,587</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96,413</w:t>
            </w:r>
          </w:p>
        </w:tc>
        <w:tc>
          <w:tcPr>
            <w:tcW w:w="0" w:type="dxa"/>
            <w:vAlign w:val="bottom"/>
          </w:tcPr>
          <w:p>
            <w:pPr>
              <w:spacing w:after="0"/>
              <w:rPr>
                <w:sz w:val="1"/>
                <w:szCs w:val="1"/>
                <w:color w:val="auto"/>
              </w:rPr>
            </w:pPr>
          </w:p>
        </w:tc>
      </w:tr>
      <w:tr>
        <w:trPr>
          <w:trHeight w:val="21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137,180</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142,931</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lease portfolio includes leased production and assembly facilities, warehouses and distribution centers, office space, vehicles, material handling equipment utilized in our production and assembly facilities, laptops and other information technology equipment, as well as other miscellaneous leased equipment. Most of the leased production and assembly facilities have lease terms ranging from two to five years, although the terms and conditions of our leases can vary significantly from lease to lease. We have assessed the specific terms and conditions of each lease to determine the amount of the lease payments and the length of the lease term, which includes the minimum period over which lease payments are required plus any renewal options that are both within our control to exercise and reasonably certain of being exercised upon lease commencement. In determining whether or not a renewal option is reasonably certain of being exercised, we assessed all relevant factors to determine if sufficient incentives exist as of lease commencement to conclude renewal is reasonably certain. There are no material residual value guarantees provided by us, nor any restrictions or covenants imposed by the leases to which we are a party. In determining the lease liability, we utilize our incremental borrowing rate to discount the future lease payments over the lease term to present value.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right-of-use asset and lease liability on our Condensed Consolidated Balance Sheets for all leases that, at the commencement date, have a lease term of more than 12 months and are classified as leases under ASC 842.</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total operating lease expense of $1.3 million and $1.4 million for the three months ended April 30, 2026 and 2025, respectively, and $2.6 million and $2.7 million for the six months ended April 30, 2026 and 2025, respectively, which is classified within Cost of sales and service and Selling, general and administrative expenses within the Condensed Consolidated Statements of Operations. Operating lease expense includes short-term leases and variable lease payments, which are immaterial. There were no lease costs capitalized on the Condensed Consolidated Balance Sheets as of April 30,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supplemental cash flow information and non-cash activity related to operating leases for the three and six months ended April 30, 2026 and 2025 (in thousands):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cash flow information:</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information:</w:t>
      </w:r>
    </w:p>
    <w:p>
      <w:pPr>
        <w:spacing w:after="0" w:line="9" w:lineRule="exact"/>
        <w:rPr>
          <w:sz w:val="20"/>
          <w:szCs w:val="20"/>
          <w:color w:val="auto"/>
        </w:rPr>
      </w:pPr>
    </w:p>
    <w:p>
      <w:pPr>
        <w:ind w:right="80" w:firstLine="90"/>
        <w:spacing w:after="0" w:line="260" w:lineRule="auto"/>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8"/>
                <w:szCs w:val="18"/>
                <w:color w:val="auto"/>
              </w:rPr>
            </w:pPr>
          </w:p>
        </w:tc>
        <w:tc>
          <w:tcPr>
            <w:tcW w:w="196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640" w:type="dxa"/>
            <w:vAlign w:val="bottom"/>
          </w:tcPr>
          <w:p>
            <w:pPr>
              <w:spacing w:after="0"/>
              <w:rPr>
                <w:sz w:val="18"/>
                <w:szCs w:val="18"/>
                <w:color w:val="auto"/>
              </w:rPr>
            </w:pPr>
          </w:p>
        </w:tc>
      </w:tr>
      <w:tr>
        <w:trPr>
          <w:trHeight w:val="238"/>
        </w:trPr>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534"/>
        </w:trPr>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648"/>
        </w:trPr>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-762635</wp:posOffset>
            </wp:positionV>
            <wp:extent cx="629221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46050"/>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-342265</wp:posOffset>
            </wp:positionV>
            <wp:extent cx="629221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05" w:lineRule="exact"/>
        <w:rPr>
          <w:sz w:val="20"/>
          <w:szCs w:val="20"/>
          <w:color w:val="auto"/>
        </w:rPr>
      </w:pPr>
    </w:p>
    <w:p>
      <w:pPr>
        <w:sectPr>
          <w:pgSz w:w="11900" w:h="16838" w:orient="portrait"/>
          <w:cols w:equalWidth="0" w:num="2">
            <w:col w:w="4540" w:space="400"/>
            <w:col w:w="4980"/>
          </w:cols>
          <w:pgMar w:left="980" w:top="513" w:right="9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maturities of undiscounted cash flows of lease commitments reconciled to the total lease liability as of April 30, 2026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33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29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r>
      <w:tr>
        <w:trPr>
          <w:trHeight w:val="216"/>
        </w:trPr>
        <w:tc>
          <w:tcPr>
            <w:tcW w:w="5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29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9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r>
      <w:tr>
        <w:trPr>
          <w:trHeight w:val="20"/>
        </w:trPr>
        <w:tc>
          <w:tcPr>
            <w:tcW w:w="5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30, 2026, the weighted-average remaining term of our lease portfolio was approximately 3.0 years and the weighted-average discount rate was approximately 3.4%.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organized and managed as a single operating and reportable segment: industrial automation equipment. We design, manufacture, and sell computerized (i.e., Computer Numeric Control) machine tools, consisting primarily of vertical machining centers (mills) and turning centers (lathes), to companies in the metal cutting industry through a worldwide sales, service, and distribution network. Although most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training, and applications support.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operating decision maker ("CODM") is the President and Chief Executive Officer, who reviews financial information presented on a consolidated basis. The CODM uses consolidated sales and service fees, gross profit, operating (loss) income and net (loss) income, as shown on the Consolidated Statements of Operations, to assess financial performance and allocate resources. The consolidated financial metrics are used by the CODM to make key operating decisions, such as the allocation of capital between reinvestment in the business, the payment of dividends, and acquisitions. While the CODM receives some additional detailed financial information related to operating expenses, consolidated selling, general and administrative expenses is the significant expense he uses to manage operations. The measure of segment assets is reported on the condensed consolidated balance sheets as total consolidated assets.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sales and service fees by product group and services for the three and six months ended April 30, 2026 and 2025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vMerge w:val="restart"/>
          </w:tcPr>
          <w:p>
            <w:pPr>
              <w:ind w:left="4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April 30,</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Computerized Machine Tools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72,086</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69,458</w:t>
            </w:r>
          </w:p>
        </w:tc>
        <w:tc>
          <w:tcPr>
            <w:tcW w:w="0" w:type="dxa"/>
            <w:vAlign w:val="bottom"/>
          </w:tcPr>
          <w:p>
            <w:pPr>
              <w:spacing w:after="0"/>
              <w:rPr>
                <w:sz w:val="1"/>
                <w:szCs w:val="1"/>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Computer Control Systems and Software </w:t>
            </w:r>
            <w:r>
              <w:rPr>
                <w:rFonts w:ascii="Times New Roman" w:cs="Times New Roman" w:eastAsia="Times New Roman" w:hAnsi="Times New Roman"/>
                <w:sz w:val="25"/>
                <w:szCs w:val="25"/>
                <w:b w:val="1"/>
                <w:bCs w:val="1"/>
                <w:color w:val="5E6A71"/>
                <w:vertAlign w:val="superscript"/>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90,486</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w:t>
            </w:r>
          </w:p>
        </w:tc>
        <w:tc>
          <w:tcPr>
            <w:tcW w:w="0" w:type="dxa"/>
            <w:vAlign w:val="bottom"/>
          </w:tcPr>
          <w:p>
            <w:pPr>
              <w:spacing w:after="0"/>
              <w:rPr>
                <w:sz w:val="1"/>
                <w:szCs w:val="1"/>
                <w:color w:val="auto"/>
              </w:rPr>
            </w:pPr>
          </w:p>
        </w:tc>
      </w:tr>
    </w:tbl>
    <w:p>
      <w:pPr>
        <w:ind w:left="120" w:hanging="112"/>
        <w:spacing w:after="0" w:line="183" w:lineRule="auto"/>
        <w:tabs>
          <w:tab w:leader="none" w:pos="120" w:val="left"/>
        </w:tabs>
        <w:numPr>
          <w:ilvl w:val="0"/>
          <w:numId w:val="11"/>
        </w:numPr>
        <w:rPr>
          <w:rFonts w:ascii="Times New Roman" w:cs="Times New Roman" w:eastAsia="Times New Roman" w:hAnsi="Times New Roman"/>
          <w:sz w:val="27"/>
          <w:szCs w:val="27"/>
          <w:b w:val="1"/>
          <w:bCs w:val="1"/>
          <w:color w:val="auto"/>
          <w:vertAlign w:val="superscript"/>
        </w:rPr>
      </w:pPr>
      <w:r>
        <w:rPr>
          <w:rFonts w:ascii="Times New Roman" w:cs="Times New Roman" w:eastAsia="Times New Roman" w:hAnsi="Times New Roman"/>
          <w:sz w:val="16"/>
          <w:szCs w:val="16"/>
          <w:color w:val="auto"/>
        </w:rPr>
        <w:t>Amounts shown do not include computer control systems and software sold as an integrated component of computerized machine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-140970</wp:posOffset>
            </wp:positionV>
            <wp:extent cx="3522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9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GUARANTEES AND PRODUCT WARRANTIES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subsidiaries guarantee third party payment obligations in connection with the sale of machines to customers that use financing. We follow FASB guidance for accounting for guarantees (codified in ASC 460). As of April 30, 2026, we had four outstanding third party payment guarantees totaling approximately $0.3 million. The terms of these guarantees are consistent with the underlying customer financing terms. Upon shipment of a machine, the customer assumes the risk of ownership. The customer does not obtain title, however, until it has paid for the machine. A retention of title clause allows us to recover the machine if the customer defaults on the financing. We accrue liabilities under these guarantees at fair value, which amounts are insignificant.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warranties on our products with respect to defects in material and workmanship. The terms of these warranties are generally one year for machines and shorter periods for service parts. We recognize an estimated liability with respect to this obligation at the time of product sale, with subsequent warranty claims recorded against the estimated liability. The amount of the warranty estimated liability is determined based on historical trend experience and any known warranty issues that could cause future warranty costs to differ from historical experience.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changes in our warranty estimated liability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740" w:type="dxa"/>
            <w:vAlign w:val="bottom"/>
            <w:gridSpan w:val="2"/>
          </w:tcPr>
          <w:p>
            <w:pPr>
              <w:jc w:val="right"/>
              <w:ind w:right="1114"/>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8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080" w:type="dxa"/>
            <w:vAlign w:val="bottom"/>
            <w:tcBorders>
              <w:bottom w:val="single" w:sz="8" w:color="auto"/>
            </w:tcBorders>
          </w:tcPr>
          <w:p>
            <w:pPr>
              <w:spacing w:after="0"/>
              <w:rPr>
                <w:sz w:val="20"/>
                <w:szCs w:val="20"/>
                <w:color w:val="auto"/>
              </w:rPr>
            </w:pPr>
          </w:p>
        </w:tc>
      </w:tr>
      <w:tr>
        <w:trPr>
          <w:trHeight w:val="210"/>
        </w:trPr>
        <w:tc>
          <w:tcPr>
            <w:tcW w:w="456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warranties during the period</w:t>
            </w: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Charges to the estimated liability</w:t>
            </w:r>
          </w:p>
        </w:tc>
        <w:tc>
          <w:tcPr>
            <w:tcW w:w="1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4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6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0"/>
        </w:trPr>
        <w:tc>
          <w:tcPr>
            <w:tcW w:w="4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increase in our warranty estimated liability was primarily due to increased shipments of 5-axis and larger, higher-performance vertical milling machines.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DEBT AGREEMENTS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31, 2018, we and our subsidiary Hurco B.V. entered into a credit agreement with Bank of America, N.A., as the lender, which was subsequently amended on each of March 13, 2020, December 23, 2020, December 17, 2021, January 4, 2023, and December 19, 2023 (as amended, the “2018 Credit Agreement”). The 2018 Credit Agreement provided for an unsecured revolving credit and letter of credit facility in a maximum aggregate amount of $40.0 million. The 2018 Credit Agreement provided that the maximum amount of outstanding letters of credit at any one time could not exceed $10.0 million, the maximum amount of outstanding loans made to our subsidiary Hurco B.V. at any one time could not exceed $20.0 million, and the maximum amount of all outstanding loans denominated in alternative currencies at any one time could not exceed $20.0 million. The scheduled maturity date of the 2018 Credit Agreement was December 31, 2025, and on that date, the 2018 Credit Agreement terminated in accordance with its terms.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2019, our wholly-owned subsidiaries in Taiwan (Hurco Manufacturing Limited (“HML”)) and China (Ningbo Hurco Machine Tool, Ltd. (“NHML”)) closed on uncommitted revolving credit facilities with maximum aggregate amounts of 150 million New Taiwan Dollars and 32.5 million Chinese Yuan, respectively. As uncommitted facilities, both the Taiwan and China credit facilities were subject to review and termination by the respective underlying lending institution from time to time. On December 31, 2025, the 150 million New Taiwan Dollars Taiwan credit facility and the 32.5 million Chinese Yuan China credit facility terminated in accordance with their terms.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5, 2026, we entered into a new credit agreement with Bank of America, N.A., as the lender (the “2026 Credit Agreement”). The 2026 Credit Agreement provides for a secured revolving credit and letter of credit facility in a maximum aggregate amount of $20.0 million. The 2026 Credit Agreement provides that the maximum amount of outstanding letters of credit at any one time may not exceed $10.0 million, and the maximum amount of all outstanding loans denominated in alternative currencies at any one time may not exceed $20.0 million. Under the 2026 Credit Agreement, we are the borrower, and certain of our subsidiaries are guarantors. Our obligations under the 2026 Credit Agreement are secured by a security interest in substantially all of our personal property and substantially all of the personal property of each subsidiary guarantor. The scheduled maturity date of the 2026 Credit Agreement is December 31, 2026.</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2026 Credit Agreement bear interest at floating rates based on, at our option, either (i) a rate based upon the secured overnight financing rate (“SOFR”), the Sterling Overnight Index Average Reference Rate, the Euro Interbank Offering Rate, or another alternative currency-based rate approved by the lender, depending on the term of the loan and the currency in which such loan is denominated, plus 2.50% per annum, or (ii) a base rate (which is the highest of (a) the federal funds rate plus 0.50%, (b) the prime rate or</w:t>
      </w:r>
    </w:p>
    <w:p>
      <w:pPr>
        <w:spacing w:after="0" w:line="3"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month SOFR-based rate plus 1.00%), plus 1.50% per annum. Outstanding letters of credit will carry an annual rate of 2.50%.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2026 Credit Agreement contains customary affirmative and negative covenants and events of default, including covenants (1) restricting us from making certain investments, loans, advances and acquisitions (but permitting us to make investments in subsidiaries of up to $10.0 million); (2) restricting us from making certain payments, including (a) cash dividends, except that we may pay cash dividends as long as immediately before and after giving effect to such payment, the sum of the unused amount of the commitments under the 2026 Credit Agreement plus our cash on hand is not less than $10.0 million, we are in pro forma compliance with the maximum consolidated leverage ratio covenant as described below, and we are not in default before and after giving effect to such dividend payments; and (b) payments made to repurchase shares of our common stock, except that we may repurchase shares of our common stock as long as we are not in default before and after giving effect to such repurchases and the aggregate amount of payments made by us for all such repurchases during any fiscal year does not exceed $10.0 million; and (3) requiring that we maintain a maximum consolidated leverage ratio of total debt to EBITDA no greater than 2.00 to 1.00, with EBITDA defined as the greater of (i) consolidated EBITDA for the most recently completed measurement period and (ii) $1.00. We may use the proceeds from advances under the 2026 Credit Agreement for general corporate purposes.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consolidated leverage ratio covenant effectively prohibits us from borrowing any amounts under the 2026 Credit Agreement when our consolidated EBITDA for the most recently completed measurement period is negative. As of the date of this report, the most recently completed measurement period was our second fiscal quarter ended April 30, 2026, during which our consolidated EBITDA was negative. In order to borrow in compliance with the maximum consolidated leverage ratio covenant set forth above, we are effectively prohibited from borrowing under the 2026 Credit Agreement until we have positive consolidated EBITDA for our most recently completed four fiscal quarters.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2026, our credit facilities consisted of a €1.5 million revolving credit facility in Germany and the $20.0 million secured revolving credit and letter of credit facility. We had no debt or borrowings outstanding under any of our credit facilities as of April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INCOME TAXES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provision for income taxes and effective tax rate is affected by the geographic composition of pre-tax income which includes jurisdictions with differing tax rates, conditional reduced tax rates, and other events that are not consistent from period to period, such as changes in income tax laws.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income tax expense during the first six months of fiscal year 2026 of $1.2 million, compared to $2.6 million for the corresponding prior year period. Our effective tax rate for the first six months of fiscal year 2026 was (27%), compared to (44%) in the corresponding prior year period. The year-over-year change was primarily due to a $1.2 million valuation allowance recorded during the first quarter of 2025 on our Italian deferred tax assets and changes in geographic mix of income and loss that includes jurisdictions with differing tax rates. A full valuation allowance has been recorded against our Italian, U.S., and Chinese deferred tax assets as of April 30, 2026, based on our conclusion that the deferred tax assets were not more likely than not to be realized.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Budget Reconciliation Act (H.R. 1) (“OBBB”) was signed into law on July 4, 2025. The OBBB did not have a material impact on our condensed consolidated financial statements and related disclosures as of and for the three and six months ended April 30, 2026. While further evaluation is ongoing, the OBBB is not expected to have a material impact on our consolidated financial statements and related disclosures in future years.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U.S. federal and state income tax returns, as well as tax returns in several foreign jurisdictions. We are currently under audit by the Internal Revenue Service (IRS) for our federal income tax return for fiscal year 2024 and our manufacturing subsidiary in Italy is under tax inspection for the fiscal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FINANCIAL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FASB fair value guidance establishes a three-tier fair value hierarchy, which categorizes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 therefore requiring an entity to develop its own assumptions.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for cash and cash equivalents approximate their fair values due to the short maturity of these instruments, and such instruments meet the Level 1 criteria of the three–tier fair value hierarchy discussed above. The carrying amount of short-term debt approximates fair value due to the variable rate of the interest and the short-term nature of the instrument.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this guidance, the following table represents the fair value hierarchy for our financial assets and liabilities measured at fair value as of April 30, 2026, and October 31, 2025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vMerge w:val="restart"/>
          </w:tcPr>
          <w:p>
            <w:pPr>
              <w:ind w:left="1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36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500" w:type="dxa"/>
            <w:vAlign w:val="bottom"/>
            <w:tcBorders>
              <w:bottom w:val="single" w:sz="8" w:color="auto"/>
            </w:tcBorders>
          </w:tcPr>
          <w:p>
            <w:pPr>
              <w:spacing w:after="0"/>
              <w:rPr>
                <w:sz w:val="20"/>
                <w:szCs w:val="20"/>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5"/>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October 31, 2025</w:t>
            </w:r>
          </w:p>
        </w:tc>
        <w:tc>
          <w:tcPr>
            <w:tcW w:w="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2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4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w w:val="95"/>
              </w:rPr>
              <w:t>Level 1</w:t>
            </w:r>
          </w:p>
        </w:tc>
        <w:tc>
          <w:tcPr>
            <w:tcW w:w="17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7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Level 1 assets are mutual fund investments under a nonqualified deferred compensation plan. We estimate the fair value of these investments on a recurring basis using market prices that are readily available.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Included in Level 2 fair value measurements are derivative assets and liabilities related to gains and losses on foreign currency forward exchange contracts entered into with a third party. We estimate the fair value of these derivatives on a recurring basis using foreign currency exchange rates obtained from active markets. Derivative instruments are reported in the accompanying Condensed Consolidated Financial Statements at fair value. We have derivative financial instruments in the form of foreign currency forward exchange contracts as described in Note 3 of Notes to Condensed Consolidated Financial Statements. The U.S. dollar equivalent notional amounts of these contracts were $97.4 million and $91.0 million at April 30, 2026, and October 31, 2025,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our foreign currency forward exchange contracts and the related currency positions are subject to offsetting market risk resulting from foreign currency exchange rate volatility. The counterparties to the forward exchange contracts are substantial and creditworthy financial institutions. We do not consider either the risk of counterparties’ non-performance or the economic consequences of counterparties’ non-performance to be material risks.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CONTINGENCIES AND LITIGATION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various claims and lawsuits arising in the normal course of business. Pursuant to applicable accounting rules, we accrue the minimum liability for each known claim when the estimated outcome is a range of possible loss and no one amount within that range is more likely than another. We maintain insurance policies for such matters, and we record insurance recoveries when we determine such recovery to be probable. We do not expect any of these claims, individually or in the aggregate, to have a material adverse effect on our consolidated financial position or results of operations. We believe that the ultimate resolution of claims for any losses will not exceed our insurance policy coverages.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NEW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which is intended to enhance the transparency and usefulness of income tax disclosures by providing incremental and disaggregated income tax disclosures pertaining to the effective tax rate reconciliation and income taxes paid by jurisdiction. This standard is effective for fiscal years beginning after December 31, 2024, with early adoption permitted. The standard allows for prospective or retrospective application upon adoption. We are currently assessing the impact this new accounting guidance will have on our consolidated financial statements and disclosures.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which requires companies to disclose disaggregated information about any relevant expense caption presented on the face of the income statement within continuing operations into the following required natural expense categories, as applicable: (1) purchases of inventory, (2) employee compensation, (3) depreciation, (4) intangible asset amortization, and</w:t>
      </w:r>
    </w:p>
    <w:p>
      <w:pPr>
        <w:spacing w:after="0" w:line="3" w:lineRule="exact"/>
        <w:rPr>
          <w:sz w:val="20"/>
          <w:szCs w:val="20"/>
          <w:color w:val="auto"/>
        </w:rPr>
      </w:pPr>
    </w:p>
    <w:p>
      <w:pPr>
        <w:jc w:val="both"/>
        <w:ind w:firstLine="8"/>
        <w:spacing w:after="0" w:line="255"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depletion, and amortization recognized as part of oil- and gas-producing activities or other depletion expenses. This update will be effective for our fiscal year 2028 annual reporting. Early adoption is permitted. We are currently assessing the impact this new accounting guidance will have on our consolidated financial statements and disclosures.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which enables entities to apply hedge accounting to a greater number of highly effective economic hedges in the following five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This ASU is effective for fiscal year 2028 annual reporting. Early adoption is permitted. We are currently assessing the impact this new accounting guidance will have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auto"/>
        </w:rPr>
        <w:t>Item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MANAGEMENT’S DISCUSSION AND ANALYSIS OF FINANCIAL CONDITION AND RESULTS OF OPERATIONS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contains information intended to help provide an understanding of our financial condition and other related matters, including our liquidity, capital resources, and results of operations. The MD&amp;A is provided as a supplement to, and should be read in conjunction with, our unaudited financial statements and the notes accompanying our unaudited financial statements appearing elsewhere in this report, as well as our audited financial statements, the accompanying notes and the MD&amp;A included in our Annual Report on Form 10-K for the year ended October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Hurco Companies, Inc. is an international, industrial technology company operating in a single segment. We design, manufacture, and sell computerized (i.e., CNC) machine tools, consisting primarily of vertical machining centers (mills) and turning centers (lathes), to companies in the metal cutting industry through a worldwide sales, service, and distribution network. Although most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and training and applications support.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overview is intended to provide a brief explanation of the principal factors that have contributed to our recent financial performance. This overview is intended to be read in conjunction with the more detailed information included in our condensed consolidated financial statements and notes thereto, that appear elsewhere in this report.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for machine tools is international in scope. We have both significant foreign sales and significant foreign manufacturing operations. During the first six months of fiscal 2026, approximately 45% of our revenues were attributable to customers in Europe, where we typically sell more of our higher-performance, higher-priced VMX series machines. Additionally, approximately 14% of our revenues were attributable to customers in the Asia Pacific region, where we encounter greater pricing pressures. We operate in a cyclical industry where sales and order trends often change periodically and can vary from region to region.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a time of global uncertainty and lower sales volumes experienced recently, we have turned our attention to adjusting overhead expenses and operating expenses to help minimize the impact of the lower volumes of sales on operating income. We implemented cost reductions in fiscal years 2024 and 2025, adjusted and managed inventories (excluding the impact of foreign currency), and suspended our regular quarterly cash dividend. In recent periods, we have used our operating cashflow to manage our capital allocation strategies to continue investing in new technologies, product development, and necessary capital expenditures without incurring any significant indebtedness as we continue to seek new acquisitions and other growth opportunities. The cyclicality of our business requires that we exercise discipline in managing through unexpected changes in the markets and industries in which we operate. We believe that our long history of profitability and the strength of our balance sheet can provide us with stability to manage through these business cycles, and we rely on our past experience in making measured decisions for the long-term success of our business.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service fees in the first six months of fiscal 2026 increased by 4%, compared to the same period in fiscal 2025. The increase in sales was due primarily to increased shipments of Hurco and Takumi 5-axis and vertical milling machines in the Americas and Asia Pacific and Takumi 5-axis and vertical milling machines in Europe, partially offset by a decreased volume of shipments of Hurco machines in Europe and electro-mechanical components and accessories manufactured by our wholly-owned subsidiary in Italy, LCM Precision Technology S.r.l. (“LCM”). Orders in the first six months of fiscal 2026 increased by 24%, compared to the same period in fiscal 2025, reflecting an increase in customer demand for Hurco and Takumi 5-axis and vertical milling machines in all three regions, as well as increased customer demand for electro-mechanical components and accessories manufactured by LCM.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three CNC machine tool brands in our product portfolio. Hurco is the technology innovation brand for customers who want to increase productivity and profitability by selecting a brand with the latest software and motion technology. Milltronics is the value-based brand for shops that want easy-to-use machines at competitive prices. The Takumi brand is for customers that need very high speed, high efficiency performance, such as that required in the production, die and mold, aerospace, and medical industries. Takumi machines are equipped with industry standard controls instead of the proprietary controls found on Hurco and Milltronics machines. These three brands of CNC machine tools are responsible for the vast majority of our revenue. However, we have added other non-Hurco branded products to our product portfolio that have contributed product diversity and market penetration opportunity. These non-Hurco branded products are sold by our wholly-owned distributors and are comprised primarily of other general-purpose vertical milling centers and lathes, laser cutting machines, CNC grinders, compact horizontal machines, metal cutting saws and CNC lathes. ProCobots LLC is our wholly-owned subsidiary that provides automation solutions. In addition, through LCM, we produce high value machine tool components and accessories.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principally sell our products through approximately 160 independent agents and distributors throughout the Americas, Europe, and Asia. Although some distributors carry competitive products, we are the primary line for the majority of our distributors globally. We also have our own direct sales and service organizations in China, the Czech Republic, France, Germany, India, Italy, the Netherlands, Poland, Singapore, Taiwan, the United Kingdom, and certain parts of the United States, which are among the world’s principal machine tool consuming markets. The vast majority of our machine tools are manufactured and assembled to our specifications primarily by our wholly-owned subsidiary in Taiwan, HML. Components to support our SRT line of five-axis machining centers, such as the direct drive spindle, swivel head, and rotary table, are manufactured by LCM.</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sales to foreign customers are denominated, and payments by those customers are made, in the prevailing currencies in the countries in which those customers are located (primarily the Euro, Pound Sterling, and Chinese Yuan). Our product costs are incurred and paid primarily in the New Taiwan Dollar and the U.S. dollar. Changes in currency exchange rates may have a material effect on our operating results and condensed consolidated financial statements as reported under U.S. Generally Accepted Accounting Principles. For example, when the U.S. dollar weakens in value relative to a foreign currency, sales made, and expenses incurred, in that currency when translated to U.S. dollars for reporting in our condensed consolidated financial statements, are higher than would be the case when the U.S. dollar is stronger. In the comparison of our period-to-period results, we discuss the effect of currency translation on those results, which reflect translation to U.S. dollars at exchange rates prevailing during the period covered by those financial statements.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high levels of foreign manufacturing and sales also expose us to cash flow risks due to fluctuating currency exchange rates. We seek to mitigate those risks through the use of derivative instruments – principally foreign currency forward exchange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2026 Compared to Three Months Ended April 30, 2025</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Service Fees. </w:t>
      </w:r>
      <w:r>
        <w:rPr>
          <w:rFonts w:ascii="Times New Roman" w:cs="Times New Roman" w:eastAsia="Times New Roman" w:hAnsi="Times New Roman"/>
          <w:sz w:val="18"/>
          <w:szCs w:val="18"/>
          <w:color w:val="auto"/>
        </w:rPr>
        <w:t>Sales and service fees for the second quarter of fiscal year 2026 were $47.6 million, an increase of $6.8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17%, compared to the corresponding prior year period, and included a favorable currency impact of $1.4 million, or 3%, when translating foreign sales to U.S. dollars for financial reporting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Service Fees by Geographic Region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net sales and service fees by geographic region for the second fiscal quarter ended April 30, 2026 and 2025 (dollars in thousands):</w:t>
      </w:r>
    </w:p>
    <w:tbl>
      <w:tblPr>
        <w:tblLayout w:type="fixed"/>
        <w:tblInd w:w="0" w:type="dxa"/>
        <w:tblCellMar>
          <w:top w:w="0" w:type="dxa"/>
          <w:left w:w="0" w:type="dxa"/>
          <w:bottom w:w="0" w:type="dxa"/>
          <w:right w:w="0" w:type="dxa"/>
        </w:tblCellMar>
      </w:tblPr>
      <w:tr>
        <w:trPr>
          <w:trHeight w:val="207"/>
        </w:trPr>
        <w:tc>
          <w:tcPr>
            <w:tcW w:w="266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6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6"/>
              </w:rPr>
              <w:t>April 30,</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  ​​​</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30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3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9"/>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3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858"/>
        </w:trPr>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in the Americas for the second quarter of fiscal year 2026 increased by 35%, compared to the corresponding period in fiscal year 2025, primarily due to increased shipments of Hurco, Takumi and Milltronics machines. The increase in machine shipments was mostly attributable to increased shipments of Hurco 5-axis and larger, higher-performance vertical milling machines, Milltronics toolroom machines, and Takumi vertical milling machines.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European sales for the second quarter of fiscal year 2026 decreased by 8%, compared to the corresponding period in fiscal year 2025, and included a favorable currency impact of 6%, when translating foreign sales to U.S. dollars for financial reporting purposes. The year-over-year decrease in European sales was primarily attributable to a decreased volume of shipments of Hurco machines and electro-mechanical components and accessories manufactured by LCM, partially offset by an increased volume of shipments of Takumi 5-axis and vertical milling machines.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Asian Pacific sales for the second quarter of fiscal year 2026 increased by 81%, compared to the corresponding prior year period, and included a favorable currency impact of 2%, when translating foreign sales to U.S. dollars for financial reporting purposes. The year-over-year increase in Asian Pacific sales was primarily due to increased shipments in China and India of Hurco 5-axis and larger, higher-performance vertical milling machines, as well as Takumi 5-axis and vertical milling machines.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Service Fees by Product Category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sets forth sales and service fees by product group and services for the second fiscal quarter ended April 30, 2026 and 2025 (dollars in thousands):</w:t>
      </w:r>
    </w:p>
    <w:tbl>
      <w:tblPr>
        <w:tblLayout w:type="fixed"/>
        <w:tblInd w:w="0" w:type="dxa"/>
        <w:tblCellMar>
          <w:top w:w="0" w:type="dxa"/>
          <w:left w:w="0" w:type="dxa"/>
          <w:bottom w:w="0" w:type="dxa"/>
          <w:right w:w="0" w:type="dxa"/>
        </w:tblCellMar>
      </w:tblPr>
      <w:tr>
        <w:trPr>
          <w:trHeight w:val="207"/>
        </w:trPr>
        <w:tc>
          <w:tcPr>
            <w:tcW w:w="364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4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18"/>
                <w:szCs w:val="18"/>
                <w:color w:val="auto"/>
              </w:rPr>
            </w:pP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Computerized Machine Tools</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 xml:space="preserve">38,546  </w:t>
            </w: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Computer Control Systems and Software </w:t>
            </w:r>
            <w:r>
              <w:rPr>
                <w:rFonts w:ascii="Times New Roman" w:cs="Times New Roman" w:eastAsia="Times New Roman" w:hAnsi="Times New Roman"/>
                <w:sz w:val="18"/>
                <w:szCs w:val="18"/>
                <w:color w:val="5E6A71"/>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4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47,618</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0</wp:posOffset>
            </wp:positionV>
            <wp:extent cx="3883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ind w:left="120" w:hanging="112"/>
        <w:spacing w:after="0" w:line="186" w:lineRule="auto"/>
        <w:tabs>
          <w:tab w:leader="none" w:pos="120" w:val="left"/>
        </w:tabs>
        <w:numPr>
          <w:ilvl w:val="0"/>
          <w:numId w:val="14"/>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15"/>
          <w:szCs w:val="15"/>
          <w:color w:val="auto"/>
        </w:rPr>
        <w:t>Amounts shown do not include computer control systems and software sold as an integrated component of computerized machine tools.</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computerized machine tools for the second quarter of fiscal year 2026 increased by 22%, compared to the corresponding prior year period, primarily due to increased shipments of Hurco 5-axis and larger, higher-performance vertical milling machines and Takumi vertical milling machines in the Americas and Asia Pacific, partially offset by decreased shipments of Hurco machines in Europe and electro-mechanical components and accessories manufactured by LCM. Sales of computer control systems and software for the second quarter of fiscal year 2026 decreased by 21%, compared to the corresponding prior year period, due mainly to decreased software sales in the Americas. Service parts and service fees for the second quarter of fiscal year 2026 changed by immaterial amounts compared to the corresponding prior year period. Sales for all product lines included a favorable currency impact of 3%, when translating foreign sales to U.S. dollars for financial reporting purposes.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Orders. </w:t>
      </w:r>
      <w:r>
        <w:rPr>
          <w:rFonts w:ascii="Times New Roman" w:cs="Times New Roman" w:eastAsia="Times New Roman" w:hAnsi="Times New Roman"/>
          <w:sz w:val="18"/>
          <w:szCs w:val="18"/>
          <w:color w:val="auto"/>
        </w:rPr>
        <w:t>Orders for the second quarter of fiscal year 2026 were $61.6 million, an increase of $17.9 million, or 41%,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fiscal year 2025, and included a favorable currency impact of $1.8 million, or 4%, when translating foreign orders to U.S. dollars.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new orders booked by geographic region for the second fiscal quarter ended April 30, 2026 and 2025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ind w:left="26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40" w:type="dxa"/>
            <w:vAlign w:val="bottom"/>
            <w:vMerge w:val="restart"/>
          </w:tcPr>
          <w:p>
            <w:pPr>
              <w:ind w:left="26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Change</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27,552</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3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40 %</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5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5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0"/>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61,647</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Orders in the Americas for the second quarter of fiscal year 2026 increased by 63%, compared to the corresponding period in fiscal year 2025, primarily due to increased demand for Hurco 5-axis and larger, higher-performance vertical milling machines and for Takumi vertical milling machines.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European orders for the second quarter of fiscal year 2026 increased by 17%, compared to the corresponding prior year period, and included a favorable currency impact of 7%, when translating foreign orders to U.S. dollars. The increase in orders was driven primarily by increased customer demand for Hurco higher-performance milling machines in the United Kingdom and Germany and for Takumi 5-axis machines in France.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Asian Pacific orders for the second quarter of fiscal year 2026 increased by 66%, compared to the corresponding prior year period, and included a favorable currency impact of 4%, when translating foreign orders to U.S. dollars. The increase in orders was driven primarily by increased customer demand for Takumi machines across the Asian Pacific region where our customers are located, as well as for Hurco vertical milling machines in China.</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for the second quarter of fiscal year 2026 was $10.3 million, or 22% of sales, compared to $7.8 million, or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for the corresponding prior year period. The year-over-year increase in gross profit was primarily due to an increased volume of machine sales and a greater mix of higher-performance machine sales. Although not significant factors, gross profit for the second quarter of fiscal year 2026 also benefited from price increases implemented in 2026 and tariff refund claims filed with the United States Customs and Border Protection, both of which were partially offset by incremental tariffs compared to prior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Selling, general, and administrative expenses for the second quarter of fiscal year 2026 were $11.1 million, or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compared to $10.9 million, or 27% of sales, in the corresponding fiscal year 2025 period, and included an unfavorable currency impact of $0.3 million, when translating foreign expenses to U.S. dollars for financial reporting purposes. The year-over-year increase in selling, general, and administrative expenses was primarily due to the unfavorable currency impact.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Operating loss for the second quarter of fiscal year 2026 was $0.8 million, compared to $3.1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fiscal year 2025. The year-over-year decrease in operating loss was primarily due to an increased volume of machine sales and a greater mix of higher-performance machine sales.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for the second quarter of fiscal year 2026 was $0.8 million compared to $0.6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fiscal year 2025. The year-over-year increase in other expense, net was due mainly to an increase in foreign currency exchange loss.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for the second quarter of fiscal year 2026 was $0.8 million, compared to $0.5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prior year period. The year-over-year change was primarily due to changes in geographic mix of income and loss that includes jurisdictions with differing tax rates.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Six Months Ended April 30, 2026, Compared to Six Months Ended April 30, 2025</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Service Fees. </w:t>
      </w:r>
      <w:r>
        <w:rPr>
          <w:rFonts w:ascii="Times New Roman" w:cs="Times New Roman" w:eastAsia="Times New Roman" w:hAnsi="Times New Roman"/>
          <w:sz w:val="18"/>
          <w:szCs w:val="18"/>
          <w:color w:val="auto"/>
        </w:rPr>
        <w:t>Sales and service fees for the first six months of fiscal year 2026 were $90.5 million, an increase of $3.2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 compared to the corresponding prior year period, and included a favorable currency impact of $3.2 million, or 4%, when translating foreign sales to U.S. dollars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Service Fees by Geographic Region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sales and service fees by geographic region for the six months ended April 30, 2026 and 2025 (dollars in thousands):</w:t>
      </w:r>
    </w:p>
    <w:tbl>
      <w:tblPr>
        <w:tblLayout w:type="fixed"/>
        <w:tblInd w:w="0" w:type="dxa"/>
        <w:tblCellMar>
          <w:top w:w="0" w:type="dxa"/>
          <w:left w:w="0" w:type="dxa"/>
          <w:bottom w:w="0" w:type="dxa"/>
          <w:right w:w="0" w:type="dxa"/>
        </w:tblCellMar>
      </w:tblPr>
      <w:tr>
        <w:trPr>
          <w:trHeight w:val="207"/>
        </w:trPr>
        <w:tc>
          <w:tcPr>
            <w:tcW w:w="266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6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w w:val="96"/>
              </w:rPr>
              <w:t>April 30,</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  ​​​</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33,469</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40,361</w:t>
            </w:r>
          </w:p>
        </w:tc>
        <w:tc>
          <w:tcPr>
            <w:tcW w:w="30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45 %</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30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0"/>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90,486</w:t>
            </w:r>
          </w:p>
        </w:tc>
        <w:tc>
          <w:tcPr>
            <w:tcW w:w="3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in the Americas for the first six months of fiscal year 2026 increased by 12%, compared to the corresponding period in fiscal year 2025, primarily due to increased shipments of Hurco 5-axis as well as larger, higher-performance vertical milling machines and Takumi vertical milling machines.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European sales for the first six months of fiscal year 2026 decreased by 7%, compared to the corresponding period in fiscal year 2025, and included a favorable currency impact of 7%, when translating foreign sales to U.S. dollars for financial reporting purposes. The year-over-year decrease in European sales was primarily attributable to a decreased volume of shipments of Hurco machines and electro-mechanical components and accessories manufactured by LCM, partially offset by an increased volume of shipments of Takumi 5-axis and vertical milling machines.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Asian Pacific sales for the first six months of fiscal year 2026 increased by 20%, compared to the corresponding prior year period, and included a favorable currency impact of 2%, when translating foreign sales to U.S. dollars for financial reporting purposes. The year-over-year increase in Asian Pacific sales was primarily due to increased shipments in China and India of Hurco 5-axis and larger, higher-performance vertical milling machines, as well as Takumi 5-axis and vertical milling machines.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Service Fees by Product Category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sales and service fees by product group and services for the six months ended April 30, 2026 and 2025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4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Pr>
          <w:p>
            <w:pPr>
              <w:spacing w:after="0"/>
              <w:rPr>
                <w:sz w:val="18"/>
                <w:szCs w:val="18"/>
                <w:color w:val="auto"/>
              </w:rPr>
            </w:pP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Computerized Machine Tools</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72,086  </w:t>
            </w: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69,458</w:t>
            </w: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Computer Control Systems and Software </w:t>
            </w:r>
            <w:r>
              <w:rPr>
                <w:rFonts w:ascii="Times New Roman" w:cs="Times New Roman" w:eastAsia="Times New Roman" w:hAnsi="Times New Roman"/>
                <w:sz w:val="18"/>
                <w:szCs w:val="18"/>
                <w:color w:val="5E6A71"/>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Service Fees</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4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90,486</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87,281</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ind w:firstLine="8"/>
        <w:spacing w:after="0" w:line="260" w:lineRule="auto"/>
        <w:tabs>
          <w:tab w:leader="none" w:pos="1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include computer control systems and software sold as an integrated component of computerized machine tools.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computerized machine tools for the first six months of fiscal year 2026 increased by 4%, compared to the corresponding prior year period, primarily due to increased shipments of Hurco 5-axis and larger, higher-performance vertical milling machines and Takumi vertical milling machines in the Americas and Asia Pacific, partially offset by decreased shipments of Hurco machines in Europe and electro-mechanical components and accessories manufactured by LCM. Sales of computer control systems and software for the first six months of fiscal year 2026 decreased by 26%, compared to the corresponding prior year period, due mainly to decreased software sales in the Americas and Europe. Sales of service parts for the first six months of fiscal year 2026 increased by 8%, compared to the corresponding prior year period, primarily due to increases in aftermarket service parts sales in the United Kingdom and Germany. Service fees for the first six months of fiscal year 2026 decreased by 2%, compared to the corresponding prior year period, primarily due to decreased aftermarket service fees in the Americas. Sales for all product lines included a favorable currency impact of 4%, when translating foreign sales to U.S. dollars for financial reporting purposes.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Orders</w:t>
      </w:r>
      <w:r>
        <w:rPr>
          <w:rFonts w:ascii="Times New Roman" w:cs="Times New Roman" w:eastAsia="Times New Roman" w:hAnsi="Times New Roman"/>
          <w:sz w:val="18"/>
          <w:szCs w:val="18"/>
          <w:color w:val="auto"/>
        </w:rPr>
        <w:t>. Orders for the first six months of fiscal year 2026 were $103.6 million, an increase of $19.8 million, or 24%,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fiscal year 2025, and included a favorable currency impact of $3.4 million, or 4%, when translating foreign orders to U.S. dollars.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new orders booked by geographic region for the six months ended April 30, 2026, and 2025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vMerge w:val="restart"/>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18"/>
                <w:szCs w:val="18"/>
                <w:color w:val="auto"/>
              </w:rPr>
            </w:pP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Change   </w:t>
            </w: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44,853</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31,588</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43,627</w:t>
            </w:r>
          </w:p>
        </w:tc>
        <w:tc>
          <w:tcPr>
            <w:tcW w:w="300" w:type="dxa"/>
            <w:vAlign w:val="bottom"/>
          </w:tcPr>
          <w:p>
            <w:pPr>
              <w:spacing w:after="0"/>
              <w:rPr>
                <w:sz w:val="18"/>
                <w:szCs w:val="18"/>
                <w:color w:val="auto"/>
              </w:rPr>
            </w:pP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30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09"/>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103,627</w:t>
            </w:r>
          </w:p>
        </w:tc>
        <w:tc>
          <w:tcPr>
            <w:tcW w:w="3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19,842</w:t>
            </w:r>
          </w:p>
        </w:tc>
        <w:tc>
          <w:tcPr>
            <w:tcW w:w="3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Orders in the Americas for the first six months of fiscal year 2026 increased by 42%, compared to the corresponding period in fiscal year 2025, primarily due to increased demand for Hurco 5-axis and larger, higher-performance vertical milling machines and for Takumi vertical milling machines.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European orders for the first six months of fiscal year 2026 increased by 8%, compared to the corresponding prior year period, and included a favorable currency impact of 8%, when translating foreign orders to U.S. dollars. The year-over-year increase was primarily due to increased customer demand for Hurco and Takumi 5-axis and higher-performance vertical milling machines in the United Kingdom, Germany and France, and increased customer demand for electro-mechanical components and accessories manufactured by LCM, partially offset by a decreased volume of machine demand in Italy and Germany.</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Asian Pacific orders for the first six months of fiscal year 2026 increased by 29%, compared to the corresponding prior year period, and included a favorable currency impact of 2%, when translating foreign orders to U.S. dollars. The year-over-year increase in Asian Pacific orders was driven primarily by increased customer demand for Takumi machines across the Asia Pacific region where our customers are located and for higher-performance Hurco vertical milling machines in India.</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the first six months of fiscal year 2026 was $18.3 million, or 20% of sales, compared to $16.1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 of sales, for the corresponding prior year period. The year-over-year increase in gross profit was primarily due to an increased volume of machine sales and a greater mix of higher-performance machine sales. Although not significant factors, gross profit for the first six months of fiscal 2026 also benefited from price increases implemented in 2026 and tariff refund claims filed with the United States Customs and Border Protection, both of which were partially offset by incremental tariffs compared to prior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Selling, general, and administrative expenses for the first six months of fiscal year 2026 were $22.2 million, or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compared to $21.3 million, or 24% of sales, in the corresponding fiscal year 2025 period, and included an unfavorable currency impact of $0.7 million, when translating foreign expenses to U.S. dollars for financial reporting purposes. The year-over-year increase in selling, general and administrative expenses was primarily due to the unfavorable currency impact.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Operating Income/Loss</w:t>
      </w:r>
      <w:r>
        <w:rPr>
          <w:rFonts w:ascii="Times New Roman" w:cs="Times New Roman" w:eastAsia="Times New Roman" w:hAnsi="Times New Roman"/>
          <w:sz w:val="18"/>
          <w:szCs w:val="18"/>
          <w:color w:val="auto"/>
        </w:rPr>
        <w:t>. Operating loss for the first six months of fiscal year 2026 was $4.0 million, compared to $5.2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fiscal year 2025. The year-over-year decrease in operating loss was primarily due to an increased volume of machine sales and a greater mix of higher-performance machine sales.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for the first six months of fiscal year 2026 was $0.8 million compared to $1.0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period in fiscal year 2025. The year-over-year decrease in other expense, net was due mainly to gains from sale of a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first six months of fiscal year 2026 was $1.2 million, compared to $2.6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prior year period. The year-over-year decrease in income tax expense was primarily due to a $1.2 million valuation allowance recorded during the first quarter of 2025 on our Italian deferred tax assets and changes in geographic mix of income and loss that include jurisdictions with differing tax rates. A full valuation allowance has been recorded against our Italian, U.S., and Chinese deferred tax assets as of April 30, 2026, based on our conclusion that the deferred tax assets were not more likely than not to be realized.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April 30, 2026, we had cash and cash equivalents of $50.1 million, compared to $48.7 million at October 31, 2025. Approximately 34% of the $50.1 million of cash and cash equivalents was denominated in U.S. dollars. The balance was attributable to our foreign operations and is held in the local currencies of our various foreign entities, subject to fluctuations in currency exchange rates. We do not believe that the indefinite reinvestment of these funds offshore impairs our ability to meet our domestic working capital needs.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Working capital was $166.9 million at April 30, 2026, compared to $173.1 million at October 31, 2025. The decrease in working capital was primarily driven by a decrease in inventories and an increase in customer deposits, partially offset by increases in cash and cash equivalents and prepaid and other assets.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expenditures of $1.3 million during the first six months of fiscal year 2026 were primarily for software development costs and capital improvements in existing facilities. We funded these expenditures with cash on hand.</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On January 6, 2023, we announced approval of a share repurchase program in an aggregate amount of up to $25.0 million and later extended this program through November 10, 2026. Repurchases under the program may be made in the open market or through privately negotiated transactions from time to time, subject to applicable laws, regulations and contractual provisions. We did not repurchase any shares of our common stock during the first six months of fiscal 2026. As of April 30, 2026, we had repurchased $5.3 million, or 259,620 common shares, under this program since inception, leaving $19.7 million available for future repurchases thereunder.</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14, 2024, we announced a suspension of our regular quarterly cash dividend as we seek to enhance our financial flexibility and improve our ability to manage market volatility while focusing on strengthening our balance sheet, reinvesting in our core business and research and development related to emerging technologies, and returning value to shareholders via the appropriate channels in both the near and long-term. Future dividends are subject to approval of our Board of Directors and will depend upon many factors, including our results of operations, financial condition, capital requirements, regulatory and contractual restrictions, our business strategy, and other factors deemed relevant by our Board of Directors from time to time.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31, 2018, we and our subsidiary Hurco B.V. entered into a credit agreement with Bank of America, N.A., as the lender, which was subsequently amended on each of March 13, 2020, December 23, 2020, December 17, 2021, January 4, 2023, and December 19, 2023 (as amended, the “2018 Credit Agreement”). The 2018 Credit Agreement provided for an unsecured revolving credit and letter of credit facility in a maximum aggregate amount of $40.0 million. The 2018 Credit Agreement provided that the maximum amount of outstanding letters of credit at any one time could not exceed $10.0 million, the maximum amount of outstanding loans made to our subsidiary Hurco B.V. at any one time could not exceed $20.0 million, and the maximum amount of all outstanding loans denominated in alternative currencies at any one time could not exceed $20.0 million. The scheduled maturity date of the 2018 Credit Agreement was December 31, 2025, and on that date, the 2018 Credit Agreement terminated in accordance with its terms.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2019, our wholly-owned subsidiaries in Taiwan, HML, and China, NHML, closed on uncommitted revolving credit facilities with maximum aggregate amounts of 150 million New Taiwan Dollars and 32.5 million Chinese Yuan, respectively. As uncommitted facilities, both the Taiwan and China credit facilities were subject to review and termination by the respective underlying lending institution from time to time. On December 31, 2025, the 150 million New Taiwan Dollars Taiwan credit facility and the 32.5 million Chinese Yuan China credit facility terminated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5, 2026, we entered into a credit agreement with Bank of America, N.A., as the lender (the “2026 Credit Agreement”). The 2026 Credit Agreement provides for a secured revolving credit and letter of credit facility in a maximum aggregate amount of $20.0 million. The 2026 Credit Agreement provides that the maximum amount of outstanding letters of credit at any one time may not exceed $10.0 million and the maximum amount of all outstanding loans denominated in alternative currencies at any one time may not exceed $20.0 million. Under the 2026 Credit Agreement, we are the borrower, and certain of our subsidiaries are guarantors. Our obligations under the 2026 Credit Agreement are secured by a security interest in substantially all of our personal property and substantially all of the personal property of each subsidiary guarantor. The scheduled maturity date of the 2026 Credit Agreement is December 31, 2026.</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2026 Credit Agreement bear interest at floating rates based on, at our option, either (i) a rate based upon the SOFR, the Sterling Overnight Index Average Reference Rate, the Euro Interbank Offering Rate, or another alternative currency-based rate approved by the lender, depending on the term of the loan and the currency in which such loan is denominated, plus 2.50% per annum, or (ii) a base rate (which is the highest of (a) the federal funds rate plus 0.50%, (b) the prime rate or (c) the one month SOFR-based rate plus 1.00%), plus 1.50% per annum. Outstanding letters of credit will carry an annual rate of 2.50%.</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2026 Credit Agreement contains customary affirmative and negative covenants and events of default, including covenants (1) restricting us from making certain investments, loans, advances and acquisitions (but permitting us to make investments in subsidiaries of up to $10.0 million); (2) restricting us from making certain payments, including (a) cash dividends, except that we may pay cash dividends as long as immediately before and after giving effect to such payment, the sum of the unused amount of the commitments under the 2026 Credit Agreement plus our cash on hand is not less than $10.0 million, we are in pro forma compliance with the maximum consolidated leverage ratio covenant as described below, and we are not in default before and after giving effect to such dividend payments and (b) payments made to repurchase shares of our common stock, except that we may repurchase shares of our common stock as long as we are not in default before and after giving effect to such repurchases and the aggregate amount of payments made by us for all such repurchases during any fiscal year does not exceed $10.0 million; and (3) requiring that we maintain a maximum consolidated leverage ratio of total debt to EBITDA no greater than 2.00 to 1.00, with EBITDA defined as the greater of (i) consolidated EBITDA for the most recently completed measurement period and (ii) $1.00. We may use the proceeds from advances under the 2026 Credit Agreement for general corporate purposes.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consolidated leverage ratio covenant effectively prohibits us from borrowing any amounts under the 2026 Credit Agreement when our consolidated EBITDA for the most recently completed measurement period is negative. As of the date of this report, the most recently completed measurement period was our second quarter ended April 30, 2026, during which our consolidated EBITDA was negative. In order to borrow in compliance with the maximum consolidated leverage ratio covenant set forth above, we are effectively prohibited from borrowing under the 2026 Credit Agreement until we have positive consolidated EBITDA for our most recently completed four fiscal quarters.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2026, our credit facilities consisted of a €1.5 million revolving credit facility in Germany and the $20.0 million secured revolving credit and letter of credit facility. We had no debt or borrowings outstanding under any of our credit facilities as of April 30,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an international cash pooling strategy that generally provides access to available cash deposits and credit facilities when needed in the U.S., Europe, or Asia Pacific.</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borrowed only $1.6 million during the fiscal years ended 2015-2018 to fund start-up costs related to expansion in China and have not had any borrowings under any of our previous debt facilities at any other time over the previous ten fiscal years, even during prolonged recessionary industry cycles. While we are currently in the process of evaluating a longer-term global credit solution that aligns with our best interest, we believe our current cash on hand, expected cash flow from operations, access to cash pooling and our current credit facilities provide adequate liquidity to fund our global operations over the next twelve months and beyond, and allow us to remain committed to our strategic plan of product innovation, acquisitions, targeted penetration of developing markets, and a balanced capital allocation program.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receive and review information on businesses and assets for potential acquisition, including intellectual property assets that are available for purchase.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MD&amp;A is based upon our condensed consolidated financial statements, which have been prepared in accordance with U.S. Generally Accepted Accounting Principles. The preparation of financial statements in conformity with those accounting principles requires us to make judgments and estimates that affect the amounts reported in the condensed consolidated financial statements and accompanying notes. Those judgments and estimates have a significant effect on the condensed consolidated financial statements because they result primarily from the need to make estimates about the effects of matters that are inherently uncertain. Actual results could differ from those estimates. Our critical accounting estimates, which are described in our Annual Report on Form 10-K for the fiscal year ended October 31, 2025, are frequently evaluated as our judgment and estimates are based upon historical experience and on various other assumptions that we believe to be reasonable under the circumstances. During the first six months of fiscal year 2026, there were no material changes to our critical accounting estimates as described in the MD&amp;A included in our Annual Report on Form 10-K for the year ended October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related to our contractual obligations and commitments from the information provided in our Annual Report on Form 10-K for the fiscal year ended October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subsidiaries guarantee third party payment obligations in connection with the sale of machines to customers that use financing. We follow FASB guidance for accounting for guarantees (codified in ASC 460). As of April 30, 2026, we had four outstanding third party payment guarantees totaling approximately $0.3 million. The terms of these guarantees are consistent with the underlying customer financing terms. Upon shipment of a machine, the customer assumes the risk of ownership. The customer does not obtain title, however, until the customer has paid for the machine. A retention of title clause allows us to recover the machine if the customer defaults on the financing. We accrue liabilities under these guarantees at fair value, which amounts are insignificant.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statements made in this report constitute “forward-looking statements” within the meaning of the Private Securities Litigation Reform Act of 1995. Forward-looking statements are subject to known and unknown risks, uncertainties and other factors that may cause our actual results, performance or achievements to be materially different from those expressed or implied by the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uncertainties and other factors include, but are not limited to:</w:t>
      </w:r>
    </w:p>
    <w:p>
      <w:pPr>
        <w:spacing w:after="0" w:line="2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machine tool industry;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economic conditions, which may adversely affect overall demand, in the Americas, Europe and Asia Pacific markets;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our international operations;</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initiatives and regulations, including import and export restrictions, duties and tariffs, including an inability to receive any refunds of tariffs paid in previous periods, and changes to tax laws;</w:t>
      </w: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currency exchange rates;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larger companies that have greater financial resources;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new product development;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and/or ability to protect our intellectual property assets;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our manufacturing and supply chain sources;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of raw materials, especially steel and iron products;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loss of members of senior management and key personnel;</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that could disrupt our operations and affect operating results;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privacy and security regulations;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our network and system security measures;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obsolescence of our technology and the need to make technological advances;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assets;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unforeseen tax consequences;</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concerning our ability to use tax loss carryforwards;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SOFR rate; and</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and pandemics on the global economy, our business and operations, our employees and the business, operations and economies of our customers and suppliers.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discuss these and other important risks and uncertainties that may affect our future operations in Part I, Item 1A – Risk Factors in our most recent Annual Report on Form 10K and may update that discussion in Part II, Item 1A – Risk Factors in this report or in a Quarterly Report on Form 10-Q we file hereafter.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While we believe the assumptions on which the forward-looking statements are based are reasonable, there can be no assurance that these forward-looking statements will prove to be accurate. We expressly disclaim any obligation to update or revise any forward-looking statements, whether as a result of new information, future events or otherwise. This cautionary statement is applicable to all forward-looking statements contained in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borrowings under our bank credit agreements are tied to prevailing domestic and foreign interest rates. At April 30, 2026, we had no borrowings outstanding under any of our credit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Exchange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six months of fiscal year 2026, we derived approximately 59% of our revenues from customers located outside of the Americas, where we invoiced and received payments in several foreign currencies. All of our computerized machine tools and computer control systems, as well as certain proprietary service parts, are sourced by our U.S.-based engineering and manufacturing division and re-invoiced to our foreign sales and service subsidiaries, primarily in their functional currencies.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sourced from foreign suppliers or built to our specifications by either our wholly-owned subsidiaries in Taiwan, the U.S., and Italy or an affiliated contract manufacturer in Taiwan. Our purchases are predominantly in foreign currencies and in some cases our arrangements with these suppliers include foreign currency risk sharing agreements, which reduce (but do not eliminate) the effects of currency fluctuations on product costs. The predominant portion of the exchange rate risk associated with our product purchases relates to the New Taiwan Dollar and the Euro.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forward exchange contracts from time to time to hedge the cash flow risk related to forecasted inter-company sales and purchases denominated in, or based on, foreign currencies (primarily the Euro, Pound Sterling, and New Taiwan Dollar). We also enter into foreign currency forward exchange contracts to protect against the effects of foreign currency fluctuations on inter-company receivables, payables, and loans denominated in foreign currencies. We do not speculate in the financial markets and, therefore, do not enter into these contracts for trading purposes.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Forward contracts for the sale or purchase of foreign currencies as of April 30, 2026, which are designated as cash flow hedges under FASB guidance related to accounting for derivative instruments and hedging activities, were as follows (in thousands, except weighted average forward rates):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 Amount at</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 Rates in</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Avg.</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80" w:type="dxa"/>
            <w:vAlign w:val="bottom"/>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26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 Foreign</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180" w:type="dxa"/>
            <w:vAlign w:val="bottom"/>
          </w:tcPr>
          <w:p>
            <w:pPr>
              <w:spacing w:after="0"/>
              <w:rPr>
                <w:sz w:val="16"/>
                <w:szCs w:val="16"/>
                <w:color w:val="auto"/>
              </w:rPr>
            </w:pPr>
          </w:p>
        </w:tc>
        <w:tc>
          <w:tcPr>
            <w:tcW w:w="12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p>
        </w:tc>
        <w:tc>
          <w:tcPr>
            <w:tcW w:w="40" w:type="dxa"/>
            <w:vAlign w:val="bottom"/>
          </w:tcPr>
          <w:p>
            <w:pPr>
              <w:spacing w:after="0"/>
              <w:rPr>
                <w:sz w:val="20"/>
                <w:szCs w:val="2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Maturity Dates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8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Sale Contracts:</w:t>
            </w:r>
          </w:p>
        </w:tc>
        <w:tc>
          <w:tcPr>
            <w:tcW w:w="2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Euro</w:t>
            </w:r>
          </w:p>
        </w:tc>
        <w:tc>
          <w:tcPr>
            <w:tcW w:w="90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1.1732</w:t>
            </w: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2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May 2026 - Apr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Sterling</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May 2026 - Apr 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Purchase Contracts: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w w:val="97"/>
              </w:rPr>
              <w:t>New Taiwan Dollar</w:t>
            </w:r>
          </w:p>
        </w:tc>
        <w:tc>
          <w:tcPr>
            <w:tcW w:w="560" w:type="dxa"/>
            <w:vAlign w:val="bottom"/>
            <w:tcBorders>
              <w:top w:val="single" w:sz="8" w:color="CCEEFF"/>
            </w:tcBorders>
          </w:tcPr>
          <w:p>
            <w:pPr>
              <w:spacing w:after="0"/>
              <w:rPr>
                <w:sz w:val="17"/>
                <w:szCs w:val="17"/>
                <w:color w:val="auto"/>
              </w:rPr>
            </w:pPr>
          </w:p>
        </w:tc>
        <w:tc>
          <w:tcPr>
            <w:tcW w:w="1420" w:type="dxa"/>
            <w:vAlign w:val="bottom"/>
            <w:tcBorders>
              <w:top w:val="single" w:sz="8" w:color="CCEE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690,000</w:t>
            </w: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gridSpan w:val="3"/>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30.4793 *</w:t>
            </w:r>
          </w:p>
        </w:tc>
        <w:tc>
          <w:tcPr>
            <w:tcW w:w="138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22,638</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21,688</w:t>
            </w:r>
          </w:p>
        </w:tc>
        <w:tc>
          <w:tcPr>
            <w:tcW w:w="24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May 2026 - Apr 2027</w:t>
            </w:r>
          </w:p>
        </w:tc>
        <w:tc>
          <w:tcPr>
            <w:tcW w:w="0" w:type="dxa"/>
            <w:vAlign w:val="bottom"/>
          </w:tcPr>
          <w:p>
            <w:pPr>
              <w:spacing w:after="0"/>
              <w:rPr>
                <w:sz w:val="1"/>
                <w:szCs w:val="1"/>
                <w:color w:val="auto"/>
              </w:rPr>
            </w:pPr>
          </w:p>
        </w:tc>
      </w:tr>
      <w:tr>
        <w:trPr>
          <w:trHeight w:val="210"/>
        </w:trPr>
        <w:tc>
          <w:tcPr>
            <w:tcW w:w="342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 New Taiwan Dollars per U.S. dollar</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Forward contracts for the sale or purchase of foreign currencies as of April 30, 2026, which were entered into to protect against the effects of foreign currency fluctuations on receivables and payables denominated in foreign currencies and are not designated as hedges under FASB guidance, were as follows (in thousands, except weighted average forward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 Amount at</w:t>
            </w: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6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 Rates in</w:t>
            </w: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Avg.</w:t>
            </w:r>
          </w:p>
        </w:tc>
        <w:tc>
          <w:tcPr>
            <w:tcW w:w="160" w:type="dxa"/>
            <w:vAlign w:val="bottom"/>
          </w:tcPr>
          <w:p>
            <w:pPr>
              <w:spacing w:after="0"/>
              <w:rPr>
                <w:sz w:val="20"/>
                <w:szCs w:val="20"/>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76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26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Foreign</w:t>
            </w:r>
          </w:p>
        </w:tc>
        <w:tc>
          <w:tcPr>
            <w:tcW w:w="260" w:type="dxa"/>
            <w:vAlign w:val="bottom"/>
          </w:tcPr>
          <w:p>
            <w:pPr>
              <w:spacing w:after="0"/>
              <w:rPr>
                <w:sz w:val="16"/>
                <w:szCs w:val="16"/>
                <w:color w:val="auto"/>
              </w:rPr>
            </w:pPr>
          </w:p>
        </w:tc>
        <w:tc>
          <w:tcPr>
            <w:tcW w:w="11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160" w:type="dxa"/>
            <w:vAlign w:val="bottom"/>
          </w:tcPr>
          <w:p>
            <w:pPr>
              <w:spacing w:after="0"/>
              <w:rPr>
                <w:sz w:val="16"/>
                <w:szCs w:val="16"/>
                <w:color w:val="auto"/>
              </w:rPr>
            </w:pPr>
          </w:p>
        </w:tc>
        <w:tc>
          <w:tcPr>
            <w:tcW w:w="1500" w:type="dxa"/>
            <w:vAlign w:val="bottom"/>
            <w:gridSpan w:val="2"/>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Contract</w:t>
            </w:r>
          </w:p>
        </w:tc>
        <w:tc>
          <w:tcPr>
            <w:tcW w:w="180" w:type="dxa"/>
            <w:vAlign w:val="bottom"/>
          </w:tcPr>
          <w:p>
            <w:pPr>
              <w:spacing w:after="0"/>
              <w:rPr>
                <w:sz w:val="16"/>
                <w:szCs w:val="16"/>
                <w:color w:val="auto"/>
              </w:rPr>
            </w:pPr>
          </w:p>
        </w:tc>
        <w:tc>
          <w:tcPr>
            <w:tcW w:w="142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Currency</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6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Sale Contracts:</w:t>
            </w:r>
          </w:p>
        </w:tc>
        <w:tc>
          <w:tcPr>
            <w:tcW w:w="2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Euro</w:t>
            </w:r>
          </w:p>
        </w:tc>
        <w:tc>
          <w:tcPr>
            <w:tcW w:w="68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26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May 2026 - Aug 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Sterling</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2026 - Dec 2026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Purchase Contracts: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New Taiwan Dollar</w:t>
            </w:r>
          </w:p>
        </w:tc>
        <w:tc>
          <w:tcPr>
            <w:tcW w:w="3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1,676,803</w:t>
            </w: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30.8834 *</w:t>
            </w:r>
          </w:p>
        </w:tc>
        <w:tc>
          <w:tcPr>
            <w:tcW w:w="16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54,295</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52,798</w:t>
            </w:r>
          </w:p>
        </w:tc>
        <w:tc>
          <w:tcPr>
            <w:tcW w:w="26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May 2026 - Feb 2027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New Taiwan Dollars per U.S. dollar</w:t>
      </w:r>
    </w:p>
    <w:p>
      <w:pPr>
        <w:spacing w:after="0" w:line="21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We are also exposed to foreign currency exchange risk related to our investment in net assets in foreign countries. To manage this risk, we have maintained a forward contract with a notional amount of €3.0 million. We designated this forward contract as a hedge of our net investment in Euro-denominated assets. We selected the forward method under FASB guidance related to the accounting for derivative instruments and hedging activities. The forward method requires all changes in the fair value of the contract to be reported as a cumulative translation adjustment in Accumulated other comprehensive loss, net of tax, in the same manner as the underlying hedged net assets. This forward contract matures in November 2026. As of April 30, 2026, we had a realized gain of $1.0 million and an unrealized loss of less than $0.1 million, net of tax, recorded as cumulative translation adjustments in Accumulated other comprehensive loss related to the hedging of our net investment in Euro-denominated assets. Forward contracts for the sale or purchase of foreign currencies as of April 30, 2026, which are designated as net investment hedges under this guidance, were as follows (in thousands, except weighted average forward rates):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31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Contract Amount at Forward Rates in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Avg.</w:t>
            </w: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U.S. Dollars</w:t>
            </w: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7"/>
        </w:trPr>
        <w:tc>
          <w:tcPr>
            <w:tcW w:w="1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260" w:type="dxa"/>
            <w:vAlign w:val="bottom"/>
          </w:tcPr>
          <w:p>
            <w:pPr>
              <w:spacing w:after="0"/>
              <w:rPr>
                <w:sz w:val="16"/>
                <w:szCs w:val="16"/>
                <w:color w:val="auto"/>
              </w:rPr>
            </w:pPr>
          </w:p>
        </w:tc>
        <w:tc>
          <w:tcPr>
            <w:tcW w:w="1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in Foreign</w:t>
            </w:r>
          </w:p>
        </w:tc>
        <w:tc>
          <w:tcPr>
            <w:tcW w:w="260" w:type="dxa"/>
            <w:vAlign w:val="bottom"/>
          </w:tcPr>
          <w:p>
            <w:pPr>
              <w:spacing w:after="0"/>
              <w:rPr>
                <w:sz w:val="16"/>
                <w:szCs w:val="16"/>
                <w:color w:val="auto"/>
              </w:rPr>
            </w:pPr>
          </w:p>
        </w:tc>
        <w:tc>
          <w:tcPr>
            <w:tcW w:w="12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Forward</w:t>
            </w:r>
          </w:p>
        </w:tc>
        <w:tc>
          <w:tcPr>
            <w:tcW w:w="240" w:type="dxa"/>
            <w:vAlign w:val="bottom"/>
          </w:tcPr>
          <w:p>
            <w:pPr>
              <w:spacing w:after="0"/>
              <w:rPr>
                <w:sz w:val="16"/>
                <w:szCs w:val="16"/>
                <w:color w:val="auto"/>
              </w:rPr>
            </w:pPr>
          </w:p>
        </w:tc>
        <w:tc>
          <w:tcPr>
            <w:tcW w:w="2060" w:type="dxa"/>
            <w:vAlign w:val="bottom"/>
            <w:gridSpan w:val="4"/>
          </w:tcPr>
          <w:p>
            <w:pPr>
              <w:jc w:val="center"/>
              <w:ind w:right="5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Contract</w:t>
            </w:r>
          </w:p>
        </w:tc>
        <w:tc>
          <w:tcPr>
            <w:tcW w:w="104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Maturity</w:t>
            </w:r>
          </w:p>
        </w:tc>
      </w:tr>
      <w:tr>
        <w:trPr>
          <w:trHeight w:val="238"/>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500" w:type="dxa"/>
            <w:vAlign w:val="bottom"/>
          </w:tcPr>
          <w:p>
            <w:pPr>
              <w:spacing w:after="0"/>
              <w:rPr>
                <w:sz w:val="20"/>
                <w:szCs w:val="20"/>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Contracts:</w:t>
            </w:r>
          </w:p>
        </w:tc>
        <w:tc>
          <w:tcPr>
            <w:tcW w:w="2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Nov 2026</w:t>
            </w:r>
          </w:p>
        </w:tc>
        <w:tc>
          <w:tcPr>
            <w:tcW w:w="40" w:type="dxa"/>
            <w:vAlign w:val="bottom"/>
          </w:tcPr>
          <w:p>
            <w:pPr>
              <w:spacing w:after="0"/>
              <w:rPr>
                <w:sz w:val="20"/>
                <w:szCs w:val="20"/>
                <w:color w:val="auto"/>
              </w:rPr>
            </w:pPr>
          </w:p>
        </w:tc>
      </w:tr>
    </w:tbl>
    <w:p>
      <w:pPr>
        <w:spacing w:after="0" w:line="20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CONTROLS AND PROCEDURES</w:t>
      </w:r>
    </w:p>
    <w:p>
      <w:pPr>
        <w:spacing w:after="0" w:line="2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conducted an evaluation under the supervision and with the participation of management, including the Chief Executive Officer and Chief Financial Officer, of the effectiveness of the design and operation of our disclosure controls and procedures as of April 30, 2026, pursuant to Rule 13a-15(b) under the Securities Exchange Act of 1934, as amended (the “Exchange Act”). Based upon that evaluation, our management, including the Chief Executive Officer and Chief Financial Officer, concluded that our disclosure controls and procedures were effective as of the evaluation date.</w:t>
      </w:r>
    </w:p>
    <w:p>
      <w:pPr>
        <w:spacing w:after="0" w:line="183"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April 30, 2026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auto"/>
        </w:rPr>
        <w:t>Item 1.</w:t>
        <w:tab/>
        <w:t>LEGAL PROCEEDINGS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various claims and lawsuits arising in the normal course of business. Pursuant to applicable accounting rules, we accrue the minimum liability for each known claim when the estimated outcome is a range of possible loss and no one amount within that range is more likely than another. We maintain insurance policies for such matters, and we record insurance recoveries when we determine such recovery to be probable. We do not expect any of these claims, individually or in the aggregate, to have a material adverse effect on our consolidated financial position or results of operations. We believe that the ultimate resolution of claims for any losses will not exceed our insurance policy coverages.</w:t>
      </w:r>
    </w:p>
    <w:p>
      <w:pPr>
        <w:spacing w:after="0" w:line="1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Item 1A.</w:t>
      </w:r>
      <w:r>
        <w:rPr>
          <w:sz w:val="20"/>
          <w:szCs w:val="20"/>
          <w:color w:val="auto"/>
        </w:rPr>
        <w:tab/>
      </w:r>
      <w:r>
        <w:rPr>
          <w:rFonts w:ascii="Times New Roman" w:cs="Times New Roman" w:eastAsia="Times New Roman" w:hAnsi="Times New Roman"/>
          <w:sz w:val="17"/>
          <w:szCs w:val="17"/>
          <w:u w:val="single" w:color="auto"/>
          <w:color w:val="auto"/>
        </w:rPr>
        <w:t>RISK FACTORS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 Risk Factors in our Annual Report on Form 10-K for the year ended October 31, 2025.</w:t>
      </w:r>
    </w:p>
    <w:p>
      <w:pPr>
        <w:spacing w:after="0" w:line="16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auto"/>
        </w:rPr>
        <w:t>Item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shares of our common stock in the second quarter of fiscal year 2026.</w:t>
      </w:r>
    </w:p>
    <w:p>
      <w:pPr>
        <w:spacing w:after="0" w:line="29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OTHER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report, the Audit Committee of our Board of Directors engaged our independent registered public accounting firm to perform non-audit, tax planning services. This disclosure is made pursuant to Section 10A(i)(2) of the Exchange Act, as added by Section 202 of the Sarbanes-Oxley Act of 2002.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2026,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the Securities and Exchange Commission’s rules).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453"/>
        </w:trPr>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180" w:type="dxa"/>
            <w:vAlign w:val="bottom"/>
            <w:gridSpan w:val="6"/>
          </w:tcPr>
          <w:p>
            <w:pPr>
              <w:ind w:left="25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9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9220" w:type="dxa"/>
            <w:vAlign w:val="bottom"/>
            <w:gridSpan w:val="9"/>
          </w:tcPr>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46">
              <w:r>
                <w:rPr>
                  <w:rFonts w:ascii="Times New Roman" w:cs="Times New Roman" w:eastAsia="Times New Roman" w:hAnsi="Times New Roman"/>
                  <w:sz w:val="18"/>
                  <w:szCs w:val="18"/>
                  <w:color w:val="0000EE"/>
                </w:rPr>
                <w:t>Amended and Restated Articles of Incorporation of the Registrant, as amended effective March 15, 2024, incorporated by</w:t>
              </w:r>
            </w:hyperlink>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reference to Exhibit 3.1 to the Registrant’s Quarterly Report on Form 10-Q for the quarter ended April 30, 2024.</w:t>
              </w:r>
            </w:hyperlink>
          </w:p>
        </w:tc>
        <w:tc>
          <w:tcPr>
            <w:tcW w:w="780" w:type="dxa"/>
            <w:vAlign w:val="bottom"/>
            <w:tcBorders>
              <w:top w:val="single" w:sz="8" w:color="0000EE"/>
            </w:tcBorders>
            <w:gridSpan w:val="2"/>
          </w:tcPr>
          <w:p>
            <w:pPr>
              <w:spacing w:after="0"/>
              <w:rPr>
                <w:sz w:val="17"/>
                <w:szCs w:val="17"/>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Amended and Restated By-Laws of the Registrant, as amended through March 15, 2024, incorporated by reference to</w:t>
              </w:r>
            </w:hyperlink>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Exhibit 3.2 to the Registrant’s Quarterly Report on Form 10-Q for the quarter ended April 30, 2024.</w:t>
              </w:r>
            </w:hyperlink>
          </w:p>
        </w:tc>
        <w:tc>
          <w:tcPr>
            <w:tcW w:w="1680" w:type="dxa"/>
            <w:vAlign w:val="bottom"/>
            <w:gridSpan w:val="5"/>
          </w:tcPr>
          <w:p>
            <w:pPr>
              <w:spacing w:after="0"/>
              <w:rPr>
                <w:sz w:val="17"/>
                <w:szCs w:val="17"/>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by the Chief Executive Officer pursuant to Rule 13a-14(a) under the Securities Exchange Act of 1934, as</w:t>
            </w:r>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c>
          <w:tcPr>
            <w:tcW w:w="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under the Securities Exchange Act of 1934, as</w:t>
            </w:r>
          </w:p>
        </w:tc>
      </w:tr>
      <w:tr>
        <w:trPr>
          <w:trHeight w:val="196"/>
        </w:trPr>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amended.</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Section 906 of the Sarbanes-Oxley Act of 2002.</w:t>
            </w:r>
          </w:p>
        </w:tc>
        <w:tc>
          <w:tcPr>
            <w:tcW w:w="1340" w:type="dxa"/>
            <w:vAlign w:val="bottom"/>
            <w:gridSpan w:val="3"/>
          </w:tcPr>
          <w:p>
            <w:pPr>
              <w:spacing w:after="0"/>
              <w:rPr>
                <w:sz w:val="24"/>
                <w:szCs w:val="24"/>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Section 906 of the Sarbanes-Oxley Act of 2002.</w:t>
            </w: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040" w:hanging="1031"/>
        <w:spacing w:after="0" w:line="258"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from the Registrant’s Quarterly Report on Form 10-Q for the quarter ended April 30, 2026, formatted in Inline XBRL: (i) Condensed Consolidated Statements of Operations; (ii) Condensed Consolidated Statements of Comprehensive Income (Loss); (iii) Condensed Consolidated Balance Sheets; (iv) Condensed Consolidated Statements of Cash Flows; (v) Condensed Consolidated Statements of Changes in Shareholders’ Equity; (vi) Notes to Condensed Consolidated Financial Statements; and (vii) information regarding trading arrangements set forth in Part II, Item 5.</w:t>
      </w:r>
    </w:p>
    <w:p>
      <w:pPr>
        <w:spacing w:after="0" w:line="183" w:lineRule="exact"/>
        <w:rPr>
          <w:sz w:val="20"/>
          <w:szCs w:val="20"/>
          <w:color w:val="auto"/>
        </w:rPr>
      </w:pPr>
    </w:p>
    <w:p>
      <w:pPr>
        <w:ind w:left="1040" w:hanging="1031"/>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HURCO COMPANIES, INC.</w:t>
      </w: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By: /s/ Sonja K.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17145</wp:posOffset>
            </wp:positionV>
            <wp:extent cx="372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Sonja K. McClelland</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Executive Vice President, Treasurer &amp; Chief Financial Officer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June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ind w:left="90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UNDER THE SECURITIES EXCHANGE ACT OF 1934, AS AMENDED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Gregory Volovic, certify that:</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Hurco Companies, Inc.;</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4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Volovic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463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Volovic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6" w:name="page37"/>
    <w:bookmarkEnd w:id="36"/>
    <w:p>
      <w:pPr>
        <w:ind w:left="90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UNDER THE SECURITIES EXCHANGE ACT OF 1934, AS AMENDED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Sonja K. McClelland, certify that:</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Hurco Companies, Inc.;</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4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5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3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Sonja K.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Sonja K. McClelland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Treasurer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Hurco Companies, Inc. (the "Company") on Form 10-Q for the period ended April 30, 2026, as filed with the Securities and Exchange Commission on the date hereof (the "Report"), the undersigned hereby certifies, pursuant to</w:t>
      </w:r>
    </w:p>
    <w:p>
      <w:pPr>
        <w:ind w:left="140" w:hanging="132"/>
        <w:spacing w:after="0"/>
        <w:tabs>
          <w:tab w:leader="none" w:pos="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10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Gregory Volovic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463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Volovic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Hurco Companies, Inc. (the "Company") on Form 10-Q for the period ended April 30, 2026, as filed with the Securities and Exchange Commission on the date hereof (the "Report"), the undersigned hereby certifies, pursuant to</w:t>
      </w:r>
    </w:p>
    <w:p>
      <w:pPr>
        <w:ind w:left="140" w:hanging="132"/>
        <w:spacing w:after="0"/>
        <w:tabs>
          <w:tab w:leader="none" w:pos="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20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10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Sonja K.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463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Sonja K. McClelland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Treasurer &amp;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3"/>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0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
      <w:numFmt w:val="bullet"/>
      <w:start w:val="1"/>
    </w:lvl>
    <w:lvl w:ilvl="1">
      <w:lvlJc w:val="left"/>
      <w:lvlText w:val="(%2)"/>
      <w:numFmt w:val="decimal"/>
      <w:start w:val="1"/>
    </w:lvl>
  </w:abstractNum>
  <w:abstractNum w:abstractNumId="22">
    <w:nsid w:val="2D1D5AE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46" Type="http://schemas.openxmlformats.org/officeDocument/2006/relationships/hyperlink" Target="https://www.sec.gov/Archives/edgar/data/315374/000155837024009007/hurc-20240430xex3d1.htm" TargetMode="External"/><Relationship Id="rId47" Type="http://schemas.openxmlformats.org/officeDocument/2006/relationships/hyperlink" Target="https://www.sec.gov/Archives/edgar/data/315374/000155837024009007/hurc-20240430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2026-06-05T13:47:33Z</dcterms:created>
  <dcterms:modified xsi:type="dcterms:W3CDTF">2026-06-05T13:47:33Z</dcterms:modified>
</cp:coreProperties>
</file>