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07" w:before="0" w:after="160"/>
        <w:ind w:left="0" w:right="0" w:hanging="0"/>
        <w:jc w:val="center"/>
        <w:rPr/>
      </w:pPr>
      <w:bookmarkStart w:id="0" w:name="hurc-20260601xsd.htm"/>
      <w:bookmarkStart w:id="1" w:name="kshurc20260601xsd"/>
      <w:bookmarkEnd w:id="0"/>
      <w:bookmarkEnd w:id="1"/>
      <w:r>
        <w:rPr/>
        <w:t>​</w:t>
      </w:r>
    </w:p>
    <w:p>
      <w:pPr>
        <w:pStyle w:val="TextBody"/>
        <w:pBdr>
          <w:top w:val="single" w:sz="2" w:space="1" w:color="000000"/>
          <w:bottom w:val="single" w:sz="24" w:space="1" w:color="000000"/>
        </w:pBdr>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pBdr/>
        <w:bidi w:val="0"/>
        <w:spacing w:lineRule="auto" w:line="285" w:before="0" w:after="0"/>
        <w:ind w:left="0" w:right="0" w:hanging="720"/>
        <w:jc w:val="center"/>
        <w:rPr>
          <w:rFonts w:ascii="Times New Roman;Times;serif" w:hAnsi="Times New Roman;Times;serif"/>
          <w:b/>
          <w:sz w:val="20"/>
        </w:rPr>
      </w:pPr>
      <w:r>
        <w:rPr>
          <w:rFonts w:ascii="Times New Roman;Times;serif" w:hAnsi="Times New Roman;Times;serif"/>
          <w:b/>
          <w:sz w:val="20"/>
        </w:rPr>
        <w:t>UNITED STATES</w:t>
      </w:r>
    </w:p>
    <w:p>
      <w:pPr>
        <w:pStyle w:val="TextBody"/>
        <w:pBdr/>
        <w:bidi w:val="0"/>
        <w:spacing w:lineRule="auto" w:line="285" w:before="0" w:after="0"/>
        <w:ind w:left="0" w:right="0" w:hanging="72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pBdr/>
        <w:bidi w:val="0"/>
        <w:spacing w:lineRule="auto" w:line="285" w:before="0" w:after="0"/>
        <w:ind w:left="0" w:right="0" w:hanging="72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bidi w:val="0"/>
        <w:spacing w:lineRule="auto" w:line="307" w:before="0" w:after="160"/>
        <w:ind w:left="0" w:right="0" w:hanging="720"/>
        <w:jc w:val="center"/>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FORM SD</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SPECIALIZED DISCLOSURE REPORT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HURCO COMPANIES, INC.</w:t>
      </w:r>
    </w:p>
    <w:p>
      <w:pPr>
        <w:pStyle w:val="TextBody"/>
        <w:bidi w:val="0"/>
        <w:spacing w:lineRule="auto" w:line="307" w:before="0" w:after="240"/>
        <w:ind w:left="0" w:right="0" w:hanging="0"/>
        <w:jc w:val="center"/>
        <w:rPr>
          <w:rFonts w:ascii="Times New Roman;Times;serif" w:hAnsi="Times New Roman;Times;serif"/>
          <w:sz w:val="20"/>
        </w:rPr>
      </w:pPr>
      <w:r>
        <w:rPr>
          <w:rFonts w:ascii="Times New Roman;Times;serif" w:hAnsi="Times New Roman;Times;serif"/>
          <w:sz w:val="20"/>
        </w:rPr>
        <w:t>(Exact name of the registrant as specified in its charter)</w:t>
      </w:r>
    </w:p>
    <w:tbl>
      <w:tblPr>
        <w:tblW w:w="4955" w:type="dxa"/>
        <w:jc w:val="center"/>
        <w:tblInd w:w="0" w:type="dxa"/>
        <w:tblLayout w:type="fixed"/>
        <w:tblCellMar>
          <w:top w:w="0" w:type="dxa"/>
          <w:left w:w="0" w:type="dxa"/>
          <w:bottom w:w="0" w:type="dxa"/>
          <w:right w:w="0" w:type="dxa"/>
        </w:tblCellMar>
      </w:tblPr>
      <w:tblGrid>
        <w:gridCol w:w="1426"/>
        <w:gridCol w:w="346"/>
        <w:gridCol w:w="592"/>
        <w:gridCol w:w="594"/>
        <w:gridCol w:w="346"/>
        <w:gridCol w:w="1651"/>
      </w:tblGrid>
      <w:tr>
        <w:trPr/>
        <w:tc>
          <w:tcPr>
            <w:tcW w:w="1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92" w:type="dxa"/>
            <w:tcBorders/>
            <w:vAlign w:val="center"/>
          </w:tcPr>
          <w:p>
            <w:pPr>
              <w:pStyle w:val="TableContents"/>
              <w:bidi w:val="0"/>
              <w:spacing w:lineRule="auto" w:line="285" w:before="0" w:after="0"/>
              <w:ind w:left="0" w:right="0" w:hanging="0"/>
              <w:jc w:val="left"/>
              <w:rPr/>
            </w:pPr>
            <w:r>
              <w:rPr/>
              <w:t>​</w:t>
            </w:r>
          </w:p>
        </w:tc>
        <w:tc>
          <w:tcPr>
            <w:tcW w:w="5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left"/>
              <w:rPr/>
            </w:pPr>
            <w:r>
              <w:rPr/>
              <w:t>​</w:t>
            </w:r>
          </w:p>
        </w:tc>
      </w:tr>
      <w:tr>
        <w:trPr/>
        <w:tc>
          <w:tcPr>
            <w:tcW w:w="142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Indiana</w:t>
            </w:r>
          </w:p>
        </w:tc>
        <w:tc>
          <w:tcPr>
            <w:tcW w:w="346" w:type="dxa"/>
            <w:tcBorders/>
            <w:vAlign w:val="center"/>
          </w:tcPr>
          <w:p>
            <w:pPr>
              <w:pStyle w:val="TableContents"/>
              <w:bidi w:val="0"/>
              <w:spacing w:lineRule="auto" w:line="285" w:before="0" w:after="0"/>
              <w:ind w:left="0" w:right="0" w:hanging="0"/>
              <w:jc w:val="center"/>
              <w:rPr/>
            </w:pPr>
            <w:r>
              <w:rPr/>
              <w:t>  ​ ​ ​</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000-09143</w:t>
            </w:r>
          </w:p>
        </w:tc>
        <w:tc>
          <w:tcPr>
            <w:tcW w:w="346" w:type="dxa"/>
            <w:tcBorders/>
            <w:vAlign w:val="center"/>
          </w:tcPr>
          <w:p>
            <w:pPr>
              <w:pStyle w:val="TableContents"/>
              <w:bidi w:val="0"/>
              <w:spacing w:lineRule="auto" w:line="285" w:before="0" w:after="0"/>
              <w:ind w:left="0" w:right="0" w:hanging="0"/>
              <w:jc w:val="center"/>
              <w:rPr/>
            </w:pPr>
            <w:r>
              <w:rPr/>
              <w:t>  ​ ​ ​</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35-1150732</w:t>
            </w:r>
          </w:p>
        </w:tc>
      </w:tr>
      <w:tr>
        <w:trPr/>
        <w:tc>
          <w:tcPr>
            <w:tcW w:w="14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w:t>
              <w:br/>
              <w:t>incorporation</w:t>
              <w:br/>
              <w:t>or organization)</w:t>
            </w:r>
          </w:p>
        </w:tc>
        <w:tc>
          <w:tcPr>
            <w:tcW w:w="346" w:type="dxa"/>
            <w:tcBorders/>
            <w:vAlign w:val="center"/>
          </w:tcPr>
          <w:p>
            <w:pPr>
              <w:pStyle w:val="TableContents"/>
              <w:bidi w:val="0"/>
              <w:spacing w:lineRule="auto" w:line="285" w:before="0" w:after="0"/>
              <w:ind w:left="0" w:right="0" w:hanging="0"/>
              <w:jc w:val="center"/>
              <w:rPr/>
            </w:pPr>
            <w:r>
              <w:rPr/>
              <w:t>​</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346"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One Technology Way</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Indianapolis, IN 46268</w:t>
      </w:r>
    </w:p>
    <w:p>
      <w:pPr>
        <w:pStyle w:val="TextBody"/>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tbl>
      <w:tblPr>
        <w:tblW w:w="8911" w:type="dxa"/>
        <w:jc w:val="center"/>
        <w:tblInd w:w="0" w:type="dxa"/>
        <w:tblLayout w:type="fixed"/>
        <w:tblCellMar>
          <w:top w:w="0" w:type="dxa"/>
          <w:left w:w="0" w:type="dxa"/>
          <w:bottom w:w="0" w:type="dxa"/>
          <w:right w:w="0" w:type="dxa"/>
        </w:tblCellMar>
      </w:tblPr>
      <w:tblGrid>
        <w:gridCol w:w="8911"/>
      </w:tblGrid>
      <w:tr>
        <w:trPr/>
        <w:tc>
          <w:tcPr>
            <w:tcW w:w="8911"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left"/>
              <w:rPr/>
            </w:pPr>
            <w:r>
              <w:rPr/>
              <w:t>​</w:t>
            </w:r>
          </w:p>
        </w:tc>
      </w:tr>
      <w:tr>
        <w:trPr/>
        <w:tc>
          <w:tcPr>
            <w:tcW w:w="8911" w:type="dxa"/>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Sonja K. McClelland</w:t>
            </w:r>
          </w:p>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Executive Vice President, Treasurer and Chief Financial Officer</w:t>
            </w:r>
          </w:p>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(317) 293-5309</w:t>
            </w:r>
          </w:p>
        </w:tc>
      </w:tr>
      <w:tr>
        <w:trPr/>
        <w:tc>
          <w:tcPr>
            <w:tcW w:w="8911" w:type="dxa"/>
            <w:tcBorders/>
            <w:vAlign w:val="center"/>
          </w:tcPr>
          <w:p>
            <w:pPr>
              <w:pStyle w:val="TableContents"/>
              <w:bidi w:val="0"/>
              <w:spacing w:lineRule="auto" w:line="307" w:before="0" w:after="0"/>
              <w:ind w:left="0" w:right="0" w:hanging="0"/>
              <w:jc w:val="center"/>
              <w:rPr>
                <w:rFonts w:ascii="Times New Roman;Times;serif" w:hAnsi="Times New Roman;Times;serif"/>
                <w:i/>
                <w:sz w:val="20"/>
              </w:rPr>
            </w:pPr>
            <w:r>
              <w:rPr>
                <w:rFonts w:ascii="Times New Roman;Times;serif" w:hAnsi="Times New Roman;Times;serif"/>
                <w:i/>
                <w:sz w:val="20"/>
              </w:rPr>
              <w:t>(Name and telephone number, including area code, of the person to contact in connection with this report.)</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to indicate the rule pursuant to which this Form is being submitted, and provide the period to which the information in this Form applies: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lineRule="auto" w:line="285" w:before="0" w:after="0"/>
              <w:jc w:val="left"/>
              <w:rPr/>
            </w:pPr>
            <w:r>
              <w:rPr/>
              <w:t>☑</w:t>
            </w:r>
          </w:p>
        </w:tc>
        <w:tc>
          <w:tcPr>
            <w:tcW w:w="997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Rule 13p-1 under the Securities Exchange Act (17 CFR 240.13p-1) for the reporting period from January 1 to December 31, 2025.</w:t>
            </w:r>
          </w:p>
        </w:tc>
      </w:tr>
    </w:tbl>
    <w:p>
      <w:pPr>
        <w:pStyle w:val="TextBody"/>
        <w:pBdr/>
        <w:bidi w:val="0"/>
        <w:spacing w:lineRule="auto" w:line="285" w:before="240" w:after="283"/>
        <w:ind w:left="0" w:right="0" w:hanging="720"/>
        <w:jc w:val="left"/>
        <w:rPr/>
      </w:pPr>
      <w:r>
        <w:rPr/>
        <w:t>​</w:t>
      </w:r>
    </w:p>
    <w:tbl>
      <w:tblPr>
        <w:tblW w:w="8233" w:type="dxa"/>
        <w:jc w:val="left"/>
        <w:tblInd w:w="0" w:type="dxa"/>
        <w:tblLayout w:type="fixed"/>
        <w:tblCellMar>
          <w:top w:w="0" w:type="dxa"/>
          <w:left w:w="0" w:type="dxa"/>
          <w:bottom w:w="0" w:type="dxa"/>
          <w:right w:w="0" w:type="dxa"/>
        </w:tblCellMar>
      </w:tblPr>
      <w:tblGrid>
        <w:gridCol w:w="230"/>
        <w:gridCol w:w="8003"/>
      </w:tblGrid>
      <w:tr>
        <w:trPr/>
        <w:tc>
          <w:tcPr>
            <w:tcW w:w="230" w:type="dxa"/>
            <w:tcBorders/>
            <w:vAlign w:val="center"/>
          </w:tcPr>
          <w:p>
            <w:pPr>
              <w:pStyle w:val="TableContents"/>
              <w:bidi w:val="0"/>
              <w:spacing w:lineRule="auto" w:line="285" w:before="0" w:after="0"/>
              <w:jc w:val="left"/>
              <w:rPr/>
            </w:pPr>
            <w:r>
              <w:rPr/>
              <w:t>☐</w:t>
            </w:r>
          </w:p>
        </w:tc>
        <w:tc>
          <w:tcPr>
            <w:tcW w:w="8003" w:type="dxa"/>
            <w:tcBorders/>
            <w:vAlign w:val="center"/>
          </w:tcPr>
          <w:p>
            <w:pPr>
              <w:pStyle w:val="TableContents"/>
              <w:bidi w:val="0"/>
              <w:spacing w:lineRule="auto" w:line="285" w:before="0" w:after="0"/>
              <w:jc w:val="left"/>
              <w:rPr>
                <w:rFonts w:ascii="Times New Roman;Times;serif" w:hAnsi="Times New Roman;Times;serif"/>
                <w:spacing w:val="-4"/>
                <w:sz w:val="20"/>
              </w:rPr>
            </w:pPr>
            <w:r>
              <w:rPr>
                <w:rFonts w:ascii="Times New Roman;Times;serif" w:hAnsi="Times New Roman;Times;serif"/>
                <w:spacing w:val="-4"/>
                <w:sz w:val="20"/>
              </w:rPr>
              <w:t>Rule 13q-1 under the Securities Exchange Act (17 CFR 240.13q-1) for the fiscal year ended _______.</w:t>
            </w:r>
          </w:p>
        </w:tc>
      </w:tr>
    </w:tbl>
    <w:p>
      <w:pPr>
        <w:pStyle w:val="TextBody"/>
        <w:bidi w:val="0"/>
        <w:spacing w:lineRule="auto" w:line="285" w:before="240" w:after="283"/>
        <w:ind w:left="0" w:right="0" w:hanging="0"/>
        <w:jc w:val="left"/>
        <w:rPr>
          <w:spacing w:val="-3"/>
        </w:rPr>
      </w:pPr>
      <w:r>
        <w:rPr>
          <w:spacing w:val="-3"/>
        </w:rPr>
        <w:t>​</w:t>
      </w:r>
    </w:p>
    <w:p>
      <w:pPr>
        <w:pStyle w:val="TextBody"/>
        <w:pBdr>
          <w:top w:val="single" w:sz="2" w:space="1" w:color="000000"/>
          <w:bottom w:val="single" w:sz="24" w:space="1" w:color="000000"/>
        </w:pBdr>
        <w:bidi w:val="0"/>
        <w:spacing w:lineRule="auto" w:line="307" w:before="0" w:after="160"/>
        <w:ind w:left="0" w:right="0" w:hanging="720"/>
        <w:jc w:val="left"/>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b/>
          <w:spacing w:val="-3"/>
          <w:sz w:val="20"/>
        </w:rPr>
      </w:pPr>
      <w:r>
        <w:rPr>
          <w:rFonts w:ascii="Times New Roman;Times;serif" w:hAnsi="Times New Roman;Times;serif"/>
          <w:b/>
          <w:spacing w:val="-3"/>
          <w:sz w:val="20"/>
        </w:rPr>
        <w:t>Section 1 – Conflict Minerals Disclosure</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b/>
          <w:spacing w:val="-3"/>
          <w:sz w:val="20"/>
        </w:rPr>
      </w:pPr>
      <w:r>
        <w:rPr>
          <w:rFonts w:ascii="Times New Roman;Times;serif" w:hAnsi="Times New Roman;Times;serif"/>
          <w:b/>
          <w:spacing w:val="-3"/>
          <w:sz w:val="20"/>
        </w:rPr>
        <w:t xml:space="preserve">Item 1.01 Conflict Minerals Disclosure and Report </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This Form SD of Hurco Companies, Inc. (“Hurco,” the “Company,” “we,” “our,” or “us”) is filed pursuant to Rule 13p-1 promulgated under the Securities Exchange Act of 1934, as amended, for the reporting period January 1, 2025 to December 31, 2025.  The scope of this report includes all products that we manufacture or contract to manufacture within Hurco’s product portfolio.</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We design, manufacture, and sell computerized (i.e., Computer Numeric Control)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support.  </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b/>
          <w:spacing w:val="-3"/>
          <w:sz w:val="20"/>
        </w:rPr>
      </w:pPr>
      <w:r>
        <w:rPr>
          <w:rFonts w:ascii="Times New Roman;Times;serif" w:hAnsi="Times New Roman;Times;serif"/>
          <w:b/>
          <w:spacing w:val="-3"/>
          <w:sz w:val="20"/>
        </w:rPr>
        <w:t>Conflict Minerals Disclosure</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 xml:space="preserve">We have determined that certain of our products contain columbite-tantalite (coltan), cassiterite, gold, wolframite, or their derivatives, which are limited to tantalum, tin, and tungsten, that are necessary to the functionality or production of those products (such minerals are referred to herein as “necessary conflict minerals”). </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We conducted in good faith a reasonable country of origin inquiry that was reasonably designed to determine whether any necessary conflict minerals contained in our products originated in the Democratic Republic of the Congo (the “DRC”) or an adjoining country (together with the DRC, the “Covered Countries”), or were from recycled or scrap sources.  As part of this inquiry, we conducted a supply chain survey of our direct suppliers using the Conflict Minerals Reporting Template created by the Responsible Minerals Initiative to collect sourcing information related to necessary conflict minerals in our products.  </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With respect to necessary conflict minerals in our products, based on the results of our inquiry, we had reason to believe that such necessary conflict minerals (1) may have originated in the Covered Countries and (2) may not be solely from recycled or scrap sources.  Accordingly, we exercised due diligence on the source and chain of custody of such necessary conflict minerals, as described in the Conflict Minerals Report attached as Exhibit 1.01 to this Form SD.</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pacing w:val="-3"/>
          <w:sz w:val="20"/>
        </w:rPr>
        <w:t xml:space="preserve">A copy of this Form SD, including the Conflict Minerals Report attached hereto as Exhibit 1.01, is publicly available on our website at </w:t>
      </w:r>
      <w:r>
        <w:rPr>
          <w:rFonts w:ascii="Times New Roman;Times;serif" w:hAnsi="Times New Roman;Times;serif"/>
          <w:sz w:val="20"/>
        </w:rPr>
        <w:t>https://offer.hurco.com/hurco-companies-inc.-investor-information-nasdaq-hurc?utm_source=Website&amp;utm_medium=URL&amp;utm_campaign=investors</w:t>
      </w:r>
      <w:r>
        <w:rPr>
          <w:rFonts w:ascii="Helvetica;sans-serif" w:hAnsi="Helvetica;sans-serif"/>
          <w:sz w:val="20"/>
        </w:rPr>
        <w:t xml:space="preserve"> </w:t>
      </w:r>
      <w:r>
        <w:rPr>
          <w:rFonts w:ascii="Times New Roman;Times;serif" w:hAnsi="Times New Roman;Times;serif"/>
          <w:spacing w:val="-3"/>
          <w:sz w:val="20"/>
        </w:rPr>
        <w:t>under the “SEC Filings” tab.</w:t>
      </w:r>
    </w:p>
    <w:p>
      <w:pPr>
        <w:pStyle w:val="TextBody"/>
        <w:bidi w:val="0"/>
        <w:spacing w:lineRule="auto" w:line="307" w:before="0" w:after="160"/>
        <w:ind w:left="0" w:right="0" w:hanging="0"/>
        <w:jc w:val="both"/>
        <w:rPr>
          <w:spacing w:val="-3"/>
        </w:rPr>
      </w:pPr>
      <w:r>
        <w:rPr>
          <w:spacing w:val="-3"/>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b/>
          <w:i w:val="false"/>
          <w:caps w:val="false"/>
          <w:smallCaps w:val="false"/>
          <w:sz w:val="20"/>
        </w:rPr>
        <w:t>Item 1.02</w:t>
      </w:r>
      <w:r>
        <w:rPr>
          <w:rFonts w:ascii="Times New Roman;Times;serif" w:hAnsi="Times New Roman;Times;serif"/>
          <w:b/>
          <w:sz w:val="20"/>
        </w:rPr>
        <w:t>Exhibit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specified in Section 3, Item 3.01, the Company is hereby filing its Conflict Minerals Report for the reporting period January 1, 2025 to December 31, 2025 as Exhibit 1.01 to this Form SD.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Section 2 – Resource Extraction Issuer Disclosure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2.01 Resource Extraction Issuer Disclosure and Report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Section 3 – Exhibits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3.01 Exhibits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lineRule="auto" w:line="307" w:before="0" w:after="160"/>
        <w:ind w:left="0" w:right="0" w:hanging="0"/>
        <w:jc w:val="left"/>
        <w:rPr/>
      </w:pPr>
      <w:r>
        <w:rPr/>
        <w:t>​</w:t>
      </w:r>
    </w:p>
    <w:tbl>
      <w:tblPr>
        <w:tblW w:w="10205" w:type="dxa"/>
        <w:jc w:val="center"/>
        <w:tblInd w:w="0" w:type="dxa"/>
        <w:tblLayout w:type="fixed"/>
        <w:tblCellMar>
          <w:top w:w="0" w:type="dxa"/>
          <w:left w:w="0" w:type="dxa"/>
          <w:bottom w:w="28" w:type="dxa"/>
          <w:right w:w="0" w:type="dxa"/>
        </w:tblCellMar>
      </w:tblPr>
      <w:tblGrid>
        <w:gridCol w:w="1047"/>
        <w:gridCol w:w="109"/>
        <w:gridCol w:w="9049"/>
      </w:tblGrid>
      <w:tr>
        <w:trPr/>
        <w:tc>
          <w:tcPr>
            <w:tcW w:w="1047" w:type="dxa"/>
            <w:tcBorders>
              <w:bottom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9049" w:type="dxa"/>
            <w:tcBorders>
              <w:bottom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047"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9049"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left"/>
              <w:rPr/>
            </w:pPr>
            <w:hyperlink w:anchor="hurc-20260601xex1d01.htm">
              <w:r>
                <w:rPr>
                  <w:rStyle w:val="InternetLink"/>
                  <w:rFonts w:ascii="Times New Roman;Times;serif" w:hAnsi="Times New Roman;Times;serif"/>
                  <w:b w:val="false"/>
                  <w:i w:val="false"/>
                  <w:caps w:val="false"/>
                  <w:smallCaps w:val="false"/>
                  <w:sz w:val="20"/>
                </w:rPr>
                <w:t>Conflict Minerals Report of Hurco Companies, Inc. for the Reporting Period January 1, 2025 to December 31, 2025</w:t>
              </w:r>
            </w:hyperlink>
            <w:hyperlink w:anchor="hurc-20260601xex1d01.htm">
              <w:r>
                <w:rPr>
                  <w:rStyle w:val="InternetLink"/>
                  <w:rFonts w:ascii="Helvetica;sans-serif" w:hAnsi="Helvetica;sans-serif"/>
                  <w:b w:val="false"/>
                  <w:i w:val="false"/>
                  <w:caps w:val="false"/>
                  <w:smallCaps w:val="false"/>
                  <w:sz w:val="22"/>
                </w:rPr>
                <w:t>.</w:t>
              </w:r>
            </w:hyperlink>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duly authorized undersigned. </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June 1, 2026</w:t>
      </w:r>
    </w:p>
    <w:p>
      <w:pPr>
        <w:pStyle w:val="TextBody"/>
        <w:bidi w:val="0"/>
        <w:spacing w:lineRule="auto" w:line="307" w:before="0" w:after="160"/>
        <w:ind w:left="0" w:right="0" w:hanging="0"/>
        <w:jc w:val="both"/>
        <w:rPr/>
      </w:pPr>
      <w:r>
        <w:rPr/>
        <w:t>​</w:t>
      </w:r>
    </w:p>
    <w:tbl>
      <w:tblPr>
        <w:tblW w:w="6081" w:type="dxa"/>
        <w:jc w:val="center"/>
        <w:tblInd w:w="0" w:type="dxa"/>
        <w:tblLayout w:type="fixed"/>
        <w:tblCellMar>
          <w:top w:w="0" w:type="dxa"/>
          <w:left w:w="0" w:type="dxa"/>
          <w:bottom w:w="0" w:type="dxa"/>
          <w:right w:w="0" w:type="dxa"/>
        </w:tblCellMar>
      </w:tblPr>
      <w:tblGrid>
        <w:gridCol w:w="124"/>
        <w:gridCol w:w="631"/>
        <w:gridCol w:w="5326"/>
      </w:tblGrid>
      <w:tr>
        <w:trPr/>
        <w:tc>
          <w:tcPr>
            <w:tcW w:w="124"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53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957"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HURCO COMPANIES,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532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Sonja K. McClelland</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32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Sonja K. McClelland</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Treasurer, and Chief Financial Officer</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 w:name="hurc-20260601xex1d01.htm"/>
      <w:bookmarkStart w:id="3" w:name="kshurc20260601xex1d01"/>
      <w:bookmarkEnd w:id="2"/>
      <w:bookmarkEnd w:id="3"/>
      <w:r>
        <w:rPr>
          <w:rFonts w:ascii="Times New Roman;Times;serif" w:hAnsi="Times New Roman;Times;serif"/>
          <w:b/>
          <w:sz w:val="20"/>
        </w:rPr>
        <w:t>Exhibit 1.01</w:t>
      </w:r>
      <w:r>
        <w:br w:type="page"/>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Hurco Companies, Inc.</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Conflict Minerals Report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This conflict minerals report for the year ended December 31, 2025, is presented to comply with Rule 13p-1 under the Securities Exchange Act of 1934, as amended (the “Rule”).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contain conflict minerals that are necessary to the functionality or production of their products (“necessary conflict minerals”).  “Conflict minerals” are defined as cassiterite, columbite-tantalite (coltan), gold, wolframite, or their derivatives, which are limited to tin, tantalum, and tungsten.  These requirements apply to registrants whatever the geographic origin of the necessary conflict minerals.</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If a registrant can establish that the necessary conflict minerals in its products originated from sources other than the Democratic Republic of the Congo (“DRC”) or an adjoining country (together with the DRC, the “Covered Countries”), or from recycled and scrap sources, the registrant must submit a specialized disclosure report under Form SD that describes the steps that the registrant took to determine the origin of the necessary conflict minerals in its products.</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If a registrant knows or has reason to believe that any of the necessary conflict minerals in its products may have originated in the Covered Countries, or knows or has reason to believe that the necessary conflict minerals may not be solely from recycled or scrap sources, then the registrant must exercise due diligence on the conflict minerals’ source and chain of custody, and the registrant must annually submit a conflict minerals report to the SEC that includes a description of those due diligence measures.</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b/>
          <w:sz w:val="20"/>
        </w:rPr>
      </w:pPr>
      <w:r>
        <w:rPr>
          <w:rFonts w:ascii="Times New Roman;Times;serif" w:hAnsi="Times New Roman;Times;serif"/>
          <w:b/>
          <w:sz w:val="20"/>
        </w:rPr>
        <w:t>Company and Supply Chain Description</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This disclosure has been prepared by management of Hurco Companies, Inc. (herein referred to as “Hurco,” the “Company,” “we,” “us,” or “our”). Hurco is an industrial technology company that designs, manufactures, and sells computerized (i.e., Computer Numeric Control) machine tools, consisting primarily of vertical machining centers (mills) and turning centers (lathes), to companies in the metal cutting industry.  The scope of this report includes all products that we manufacture or contract to manufacture within Hurco’s product portfolio.</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Our products, such as our proprietary control systems that include printed circuit boards, connectors, liquid crystal displays, touch screens, and keypads, may contain necessary conflict minerals.  In addition, various components of our products, such as motors and drives and encoders, contain electronic components that may contain conflict minerals.  We determined that during the 2025 calendar year, we manufactured and sub-contracted to manufacture products that use purchased components containing necessary conflict minerals.</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We are a downstream consumer of necessary conflict minerals.  In most cases, there are several layers of third parties in the supply chain between the original source of the minerals and us.  The majority of our direct suppliers are several steps removed from smelters, refiners, and mines – purchasing their components and products from suppliers who are also removed from direct interaction with smelters, refiners, and mines.  Many of our suppliers and sub-suppliers also supply to other manufacturers of machine tools and related accessories.  Since we do not purchase necessary conflict minerals directly from mines, smelters, or refiners, we rely on our direct suppliers to provide information regarding the origin of these minerals.  </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Reasonable Country of Origin Inquiry </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We conducted in good faith a reasonable country of origin inquiry (“RCOI”) to determine whether or not any of the necessary conflict minerals in our products originated in the Covered Countries or were not made solely from recycled or scrap sources.  The methods we employed to determine the origin of necessary conflict minerals in our products were:</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both"/>
              <w:rPr/>
            </w:pPr>
            <w:r>
              <w:rPr/>
              <w:t>•</w:t>
            </w:r>
          </w:p>
        </w:tc>
        <w:tc>
          <w:tcPr>
            <w:tcW w:w="10072" w:type="dxa"/>
            <w:tcBorders/>
            <w:vAlign w:val="center"/>
          </w:tcPr>
          <w:p>
            <w:pPr>
              <w:pStyle w:val="TableContents"/>
              <w:bidi w:val="0"/>
              <w:spacing w:lineRule="auto" w:line="307" w:before="0" w:after="0"/>
              <w:jc w:val="both"/>
              <w:rPr>
                <w:rFonts w:ascii="Times New Roman;Times;serif" w:hAnsi="Times New Roman;Times;serif"/>
                <w:sz w:val="20"/>
              </w:rPr>
            </w:pPr>
            <w:r>
              <w:rPr>
                <w:rFonts w:ascii="Times New Roman;Times;serif" w:hAnsi="Times New Roman;Times;serif"/>
                <w:sz w:val="20"/>
              </w:rPr>
              <w:t>Identifying relevant suppliers whom we believed were likely to provide us with components and raw materials containing necessary conflict minerals;</w:t>
            </w:r>
          </w:p>
        </w:tc>
      </w:tr>
    </w:tbl>
    <w:tbl>
      <w:tblPr>
        <w:tblW w:w="8193" w:type="dxa"/>
        <w:jc w:val="left"/>
        <w:tblInd w:w="0" w:type="dxa"/>
        <w:tblLayout w:type="fixed"/>
        <w:tblCellMar>
          <w:top w:w="0" w:type="dxa"/>
          <w:left w:w="0" w:type="dxa"/>
          <w:bottom w:w="0" w:type="dxa"/>
          <w:right w:w="0" w:type="dxa"/>
        </w:tblCellMar>
      </w:tblPr>
      <w:tblGrid>
        <w:gridCol w:w="23"/>
        <w:gridCol w:w="110"/>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both"/>
              <w:rPr/>
            </w:pPr>
            <w:r>
              <w:rPr/>
              <w:t>•</w:t>
            </w:r>
          </w:p>
        </w:tc>
        <w:tc>
          <w:tcPr>
            <w:tcW w:w="8060" w:type="dxa"/>
            <w:tcBorders/>
            <w:vAlign w:val="center"/>
          </w:tcPr>
          <w:p>
            <w:pPr>
              <w:pStyle w:val="TableContents"/>
              <w:bidi w:val="0"/>
              <w:spacing w:lineRule="auto" w:line="307" w:before="0" w:after="0"/>
              <w:jc w:val="both"/>
              <w:rPr>
                <w:rFonts w:ascii="Times New Roman;Times;serif" w:hAnsi="Times New Roman;Times;serif"/>
                <w:sz w:val="20"/>
              </w:rPr>
            </w:pPr>
            <w:r>
              <w:rPr>
                <w:rFonts w:ascii="Times New Roman;Times;serif" w:hAnsi="Times New Roman;Times;serif"/>
                <w:sz w:val="20"/>
              </w:rPr>
              <w:t>Sending correspondence to our direct suppliers explaining the Rule and our disclosure obligations;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both"/>
              <w:rPr/>
            </w:pPr>
            <w:r>
              <w:rPr/>
              <w:t>•</w:t>
            </w:r>
          </w:p>
        </w:tc>
        <w:tc>
          <w:tcPr>
            <w:tcW w:w="10072" w:type="dxa"/>
            <w:tcBorders/>
            <w:vAlign w:val="center"/>
          </w:tcPr>
          <w:p>
            <w:pPr>
              <w:pStyle w:val="TableContents"/>
              <w:bidi w:val="0"/>
              <w:spacing w:lineRule="auto" w:line="307" w:before="0" w:after="0"/>
              <w:jc w:val="both"/>
              <w:rPr>
                <w:rFonts w:ascii="Times New Roman;Times;serif" w:hAnsi="Times New Roman;Times;serif"/>
                <w:sz w:val="20"/>
              </w:rPr>
            </w:pPr>
            <w:r>
              <w:rPr>
                <w:rFonts w:ascii="Times New Roman;Times;serif" w:hAnsi="Times New Roman;Times;serif"/>
                <w:sz w:val="20"/>
              </w:rPr>
              <w:t>Soliciting survey responses from direct suppliers of components of our products, using the Conflict Minerals Reporting Template (the “CMRT”) created by the Responsible Minerals Initiative (“RMI”) to identify the smelters and refiners of necessary conflict minerals in our supply chain;</w:t>
            </w:r>
          </w:p>
        </w:tc>
      </w:tr>
    </w:tbl>
    <w:p>
      <w:pPr>
        <w:pStyle w:val="HorizontalLine"/>
        <w:pBdr>
          <w:bottom w:val="double" w:sz="2" w:space="0" w:color="808080"/>
        </w:pBdr>
        <w:bidi w:val="0"/>
        <w:spacing w:before="0" w:after="283"/>
        <w:jc w:val="left"/>
        <w:rPr/>
      </w:pPr>
      <w:r>
        <w:rPr/>
      </w:r>
    </w:p>
    <w:tbl>
      <w:tblPr>
        <w:tblW w:w="8928" w:type="dxa"/>
        <w:jc w:val="left"/>
        <w:tblInd w:w="0" w:type="dxa"/>
        <w:tblLayout w:type="fixed"/>
        <w:tblCellMar>
          <w:top w:w="0" w:type="dxa"/>
          <w:left w:w="0" w:type="dxa"/>
          <w:bottom w:w="0" w:type="dxa"/>
          <w:right w:w="0" w:type="dxa"/>
        </w:tblCellMar>
      </w:tblPr>
      <w:tblGrid>
        <w:gridCol w:w="23"/>
        <w:gridCol w:w="110"/>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both"/>
              <w:rPr/>
            </w:pPr>
            <w:r>
              <w:rPr/>
              <w:t>•</w:t>
            </w:r>
          </w:p>
        </w:tc>
        <w:tc>
          <w:tcPr>
            <w:tcW w:w="8795" w:type="dxa"/>
            <w:tcBorders/>
            <w:vAlign w:val="center"/>
          </w:tcPr>
          <w:p>
            <w:pPr>
              <w:pStyle w:val="TableContents"/>
              <w:bidi w:val="0"/>
              <w:spacing w:lineRule="auto" w:line="307" w:before="0" w:after="0"/>
              <w:jc w:val="both"/>
              <w:rPr>
                <w:rFonts w:ascii="Times New Roman;Times;serif" w:hAnsi="Times New Roman;Times;serif"/>
                <w:sz w:val="20"/>
              </w:rPr>
            </w:pPr>
            <w:r>
              <w:rPr>
                <w:rFonts w:ascii="Times New Roman;Times;serif" w:hAnsi="Times New Roman;Times;serif"/>
                <w:sz w:val="20"/>
              </w:rPr>
              <w:t xml:space="preserve">Sending reminders and following up with suppliers that did not respond to our requests for information; and </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both"/>
              <w:rPr/>
            </w:pPr>
            <w:r>
              <w:rPr/>
              <w:t>•</w:t>
            </w:r>
          </w:p>
        </w:tc>
        <w:tc>
          <w:tcPr>
            <w:tcW w:w="10072" w:type="dxa"/>
            <w:tcBorders/>
            <w:vAlign w:val="center"/>
          </w:tcPr>
          <w:p>
            <w:pPr>
              <w:pStyle w:val="TableContents"/>
              <w:bidi w:val="0"/>
              <w:spacing w:lineRule="auto" w:line="307" w:before="0" w:after="0"/>
              <w:jc w:val="both"/>
              <w:rPr>
                <w:rFonts w:ascii="Times New Roman;Times;serif" w:hAnsi="Times New Roman;Times;serif"/>
                <w:sz w:val="20"/>
              </w:rPr>
            </w:pPr>
            <w:r>
              <w:rPr>
                <w:rFonts w:ascii="Times New Roman;Times;serif" w:hAnsi="Times New Roman;Times;serif"/>
                <w:sz w:val="20"/>
              </w:rPr>
              <w:t>Reviewing responses that we received from our suppliers and following up by email and/or telephone with those whose responses appeared to be incomplete, incorrect, or otherwise not reliable.</w:t>
            </w:r>
          </w:p>
        </w:tc>
      </w:tr>
    </w:tbl>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Helvetica;sans-serif" w:hAnsi="Helvetica;sans-serif"/>
          <w:sz w:val="20"/>
        </w:rPr>
      </w:pPr>
      <w:r>
        <w:rPr>
          <w:rFonts w:ascii="Times New Roman;Times;serif" w:hAnsi="Times New Roman;Times;serif"/>
          <w:b/>
          <w:sz w:val="20"/>
        </w:rPr>
        <w:t>Due Diligence Program</w:t>
      </w:r>
      <w:r>
        <w:rPr>
          <w:rFonts w:ascii="Helvetica;sans-serif" w:hAnsi="Helvetica;sans-serif"/>
          <w:sz w:val="20"/>
        </w:rPr>
        <w:t xml:space="preserve"> </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We have adopted and communicated to the public a company policy on conflict minerals (the “Hurco Conflict Minerals Policy”), which can be found at the following website: https://cms.hurco.com/uploads/Conflict_Minerals_Policy_7c40158f0b.pdf.  Pursuant to the Hurco Conflict Minerals Policy, we developed a due diligence framework utilizing the Organisation for Economic Co-operation and Development (the “OECD”) Due Diligence Guidance for Responsible Supply Chains of Minerals from Conflict-Affected and High-Risk Areas and related Supplements for gold and for tin, tantalum, and tungsten.  We also work with our direct suppliers to determine the potential use of conflict minerals in our supply chain and request our suppliers to conduct the necessary due diligence to provide us with proper verification of the source and chain of custody of the materials used in their products.  </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The due diligence measures performed for the reporting year ended December 31, 2025, are summarized below.  </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Helvetica;sans-serif" w:hAnsi="Helvetica;sans-serif"/>
          <w:sz w:val="20"/>
        </w:rPr>
      </w:pPr>
      <w:r>
        <w:rPr>
          <w:rFonts w:ascii="Times New Roman;Times;serif" w:hAnsi="Times New Roman;Times;serif"/>
          <w:i/>
          <w:sz w:val="20"/>
        </w:rPr>
        <w:t>Maintain Strong Company Management Systems</w:t>
      </w:r>
      <w:r>
        <w:rPr>
          <w:rFonts w:ascii="Times New Roman;Times;serif" w:hAnsi="Times New Roman;Times;serif"/>
          <w:sz w:val="20"/>
          <w:u w:val="single"/>
        </w:rPr>
        <w: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We have structured a task force comprised of individuals from the Supply Chain Management, Procurement, Engineering, and Finance departments within the Company to support the process of supply chain due diligence.   We collaborated with management from various departments to identify products that are affected by the necessary conflict minerals and mapped them to their respective suppliers.  From the risks identified in our supply chain, we have established a strategy to respond to those risks by continuing to strengthen governance and communication with suppliers.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0"/>
        </w:rPr>
        <w:t>Identify and Assess Risk in the Supply Chain</w:t>
      </w:r>
      <w:r>
        <w:rPr>
          <w:rFonts w:ascii="Times New Roman;Times;serif" w:hAnsi="Times New Roman;Times;serif"/>
          <w:sz w:val="20"/>
          <w:u w:val="single"/>
        </w:rPr>
        <w:t>.</w:t>
      </w:r>
    </w:p>
    <w:p>
      <w:pPr>
        <w:pStyle w:val="TextBody"/>
        <w:bidi w:val="0"/>
        <w:spacing w:lineRule="auto" w:line="285" w:before="100" w:after="100"/>
        <w:ind w:left="0" w:right="0" w:hanging="0"/>
        <w:jc w:val="left"/>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We developed a risk-based approach that focused on our direct suppliers that we believed were likely to provide us with components and raw materials containing necessary conflict minerals. This was accomplished by members of our task force reviewing the listing of components and raw materials provided by our direct suppliers and identifying those components and raw materials that may contain necessary conflict minerals.   The task force identified nine direct suppliers who may have sold us goods or products containing necessary conflicts minerals (the “Identified Suppliers”).  </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We sent the CMRT to our Identified Suppliers and requested information about the source of conflict minerals contained in the components supplied to us.  Eight out of the nine Identified Suppliers returned our survey and seven of these Identified Suppliers responded “yes” to the presence of conflict minerals in their products.  However, seven of these Identified Suppliers provided their responses to us at a company-wide level, rather than at a product-level specific to the materials they supplied to us.  Therefore, for necessary conflict minerals sourced from these Identified Suppliers, we were unable to determine which, if any, of the smelters or refiners and countries of origin of the mine used by such smelters or refiners listed in their responses were the actual source of necessary conflict minerals they supplied to us.  We intend to continue to work with our direct suppliers in the future to obtain and validate the names of smelters and refiners and related countries of origin that supply necessary conflict minerals for our products.  Using our supply chain due diligence processes, we hope to further develop transparency into our supply chain.</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 xml:space="preserve">When an Identified Supplier also provided information about the smelters or refiners that are in their supply chain, we also review the responses to determine if any materials or components provided to us may have originated in any country that may be subject to sanctions or other various government watchlists related to human rights violations or if any of the smelters or refiners identified are subject to sanctions or may be on other various governmental watchlists.  Notably, the list of smelters or refiners or country of origin of the mine used by such smelters or refiners listed in the responses from any Identified Supplier may not be the actual source of necessary conflict minerals they supplied to us given that many of our Identified Suppliers provided responses to us at a company-wide level, rather than a product-level, but we took this additional step to identify risk in our supply chain. </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i/>
          <w:sz w:val="20"/>
        </w:rPr>
        <w:t>Design and Implement a Strategy to Respond to Identified Risks</w:t>
      </w:r>
      <w:r>
        <w:rPr>
          <w:rFonts w:ascii="Times New Roman;Times;serif" w:hAnsi="Times New Roman;Times;serif"/>
          <w:sz w:val="20"/>
          <w:u w:val="single"/>
        </w:rPr>
        <w:t>.</w:t>
      </w:r>
    </w:p>
    <w:p>
      <w:pPr>
        <w:pStyle w:val="TextBody"/>
        <w:bidi w:val="0"/>
        <w:spacing w:lineRule="auto" w:line="285" w:before="100" w:after="100"/>
        <w:ind w:left="0" w:right="0" w:hanging="0"/>
        <w:jc w:val="both"/>
        <w:rPr/>
      </w:pPr>
      <w:r>
        <w:rPr/>
        <w:t>​</w:t>
      </w:r>
    </w:p>
    <w:p>
      <w:pPr>
        <w:pStyle w:val="TextBody"/>
        <w:bidi w:val="0"/>
        <w:spacing w:lineRule="auto" w:line="307" w:before="0" w:after="0"/>
        <w:ind w:left="0" w:right="0" w:hanging="0"/>
        <w:jc w:val="left"/>
        <w:rPr>
          <w:rFonts w:ascii="Helvetica;sans-serif" w:hAnsi="Helvetica;sans-serif"/>
          <w:sz w:val="20"/>
        </w:rPr>
      </w:pPr>
      <w:r>
        <w:rPr>
          <w:rFonts w:ascii="Times New Roman;Times;serif" w:hAnsi="Times New Roman;Times;serif"/>
          <w:sz w:val="20"/>
        </w:rPr>
        <w:t>As part of our risk management plan, to ensure that our suppliers understand our expectations, we have described our intention to source responsibly in the Hurco Conflict Minerals Policy, which can be found at https://cms.hurco.com/uploads/Conflict_Minerals_Policy_7c40158f0b.pdf</w:t>
      </w:r>
      <w:r>
        <w:rPr>
          <w:rFonts w:ascii="Helvetica;sans-serif" w:hAnsi="Helvetica;sans-serif"/>
          <w:sz w:val="20"/>
        </w:rPr>
        <w:t xml:space="preserve"> </w:t>
      </w:r>
    </w:p>
    <w:p>
      <w:pPr>
        <w:pStyle w:val="TextBody"/>
        <w:bidi w:val="0"/>
        <w:spacing w:lineRule="auto" w:line="285" w:before="100" w:after="100"/>
        <w:ind w:left="0" w:right="0" w:hanging="0"/>
        <w:jc w:val="both"/>
        <w:rPr/>
      </w:pPr>
      <w:r>
        <w:rPr/>
        <w:t>​</w:t>
      </w:r>
    </w:p>
    <w:p>
      <w:pPr>
        <w:pStyle w:val="TextBody"/>
        <w:bidi w:val="0"/>
        <w:spacing w:lineRule="auto" w:line="285" w:before="100" w:after="100"/>
        <w:ind w:left="0" w:right="0" w:hanging="0"/>
        <w:jc w:val="both"/>
        <w:rPr/>
      </w:pPr>
      <w:r>
        <w:rPr/>
        <w:t>​</w:t>
      </w:r>
    </w:p>
    <w:p>
      <w:pPr>
        <w:pStyle w:val="TextBody"/>
        <w:bidi w:val="0"/>
        <w:spacing w:lineRule="auto" w:line="285" w:before="100" w:after="100"/>
        <w:ind w:left="0" w:right="0" w:hanging="0"/>
        <w:jc w:val="both"/>
        <w:rPr/>
      </w:pPr>
      <w:r>
        <w:rPr/>
        <w:t>​</w:t>
      </w:r>
    </w:p>
    <w:p>
      <w:pPr>
        <w:pStyle w:val="TextBody"/>
        <w:bidi w:val="0"/>
        <w:spacing w:lineRule="auto" w:line="285" w:before="100" w:after="10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Reliance on Independent Third-Party Audit of Supply Chain Due Diligence at the Smelter/Refiner Level.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As mentioned above, we conducted a survey of our nine Identified Suppliers using the CMRT.  However, we do not have direct relationships with conflict minerals smelters and refiners in our supply chain; thus, we do not perform direct audits of the entities that provide our supply chain with the necessary conflict minerals.  We do rely upon the published results of audits conducted by the RMI and other recognized certification programs to comply with OECD guidance to conduct independent third-party audits.  We also rely upon industry efforts to influence smelters and refiners to participate in the Responsible Minerals Assurance Process (“RMAP”).</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0"/>
        </w:rPr>
        <w:t>Report on Supply Chain Due Diligence</w:t>
      </w:r>
      <w:r>
        <w:rPr>
          <w:rFonts w:ascii="Times New Roman;Times;serif" w:hAnsi="Times New Roman;Times;serif"/>
          <w:sz w:val="20"/>
          <w:u w:val="single"/>
        </w:rPr>
        <w:t>.</w:t>
      </w:r>
    </w:p>
    <w:p>
      <w:pPr>
        <w:pStyle w:val="TextBody"/>
        <w:bidi w:val="0"/>
        <w:spacing w:lineRule="auto" w:line="285" w:before="0" w:after="0"/>
        <w:ind w:left="0" w:right="0" w:hanging="0"/>
        <w:jc w:val="left"/>
        <w:rPr/>
      </w:pPr>
      <w:r>
        <w:rPr/>
        <w:t> </w:t>
      </w:r>
    </w:p>
    <w:p>
      <w:pPr>
        <w:pStyle w:val="TextBody"/>
        <w:bidi w:val="0"/>
        <w:spacing w:lineRule="auto" w:line="307" w:before="0" w:after="0"/>
        <w:ind w:left="0" w:right="0" w:hanging="0"/>
        <w:jc w:val="both"/>
        <w:rPr>
          <w:rFonts w:ascii="Helvetica;sans-serif" w:hAnsi="Helvetica;sans-serif"/>
          <w:sz w:val="20"/>
        </w:rPr>
      </w:pPr>
      <w:r>
        <w:rPr>
          <w:rFonts w:ascii="Times New Roman;Times;serif" w:hAnsi="Times New Roman;Times;serif"/>
          <w:sz w:val="20"/>
        </w:rPr>
        <w:t>The Company has filed with the SEC its specialized disclosure report on Form SD, which includes this Conflict Minerals Report as Exhibit 1.01, for the reporting period from January 1, 2025 to December 31, 2025.  In accordance with OECD guidance and the Rule, the Company has also made these disclosures available on its website at www.hurco.com</w:t>
      </w:r>
      <w:r>
        <w:rPr>
          <w:rFonts w:ascii="Helvetica;sans-serif" w:hAnsi="Helvetica;sans-serif"/>
          <w:sz w:val="20"/>
        </w:rPr>
        <w:t xml:space="preserve"> </w:t>
      </w:r>
      <w:r>
        <w:rPr>
          <w:rFonts w:ascii="Times New Roman;Times;serif" w:hAnsi="Times New Roman;Times;serif"/>
          <w:sz w:val="20"/>
        </w:rPr>
        <w:t>under the “Investors” section.</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b/>
          <w:sz w:val="20"/>
        </w:rPr>
      </w:pPr>
      <w:r>
        <w:rPr>
          <w:rFonts w:ascii="Times New Roman;Times;serif" w:hAnsi="Times New Roman;Times;serif"/>
          <w:b/>
          <w:sz w:val="20"/>
        </w:rPr>
        <w:t>Due Diligence Results</w:t>
      </w:r>
    </w:p>
    <w:p>
      <w:pPr>
        <w:pStyle w:val="TextBody"/>
        <w:bidi w:val="0"/>
        <w:spacing w:lineRule="auto" w:line="307" w:before="0" w:after="160"/>
        <w:ind w:left="0" w:right="0" w:hanging="0"/>
        <w:jc w:val="both"/>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As described above, components of our products contain necessary conflict minerals.  Based on the information we have obtained pursuant to our good faith RCOI and due diligence process described above, our Identified Suppliers provided us with a list of 366 smelters and refiners (listed in Exhibit A) as potentially having processed the necessary conflict minerals used in our products during 2025 (the “Identified Smelters”). Exhibit A also contains the country where the smelter or refiner is located (but not the country of origin of the mine used by such smelter or refiner).  </w:t>
      </w:r>
    </w:p>
    <w:p>
      <w:pPr>
        <w:pStyle w:val="TextBody"/>
        <w:bidi w:val="0"/>
        <w:spacing w:lineRule="auto" w:line="307" w:before="0" w:after="16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certain information pertaining to the 366 Identified Smelters as of May 31, 2026:</w:t>
      </w:r>
    </w:p>
    <w:tbl>
      <w:tblPr>
        <w:tblW w:w="10205" w:type="dxa"/>
        <w:jc w:val="center"/>
        <w:tblInd w:w="0" w:type="dxa"/>
        <w:tblLayout w:type="fixed"/>
        <w:tblCellMar>
          <w:top w:w="0" w:type="dxa"/>
          <w:left w:w="0" w:type="dxa"/>
          <w:bottom w:w="0" w:type="dxa"/>
          <w:right w:w="0" w:type="dxa"/>
        </w:tblCellMar>
      </w:tblPr>
      <w:tblGrid>
        <w:gridCol w:w="9338"/>
        <w:gridCol w:w="146"/>
        <w:gridCol w:w="421"/>
        <w:gridCol w:w="109"/>
        <w:gridCol w:w="191"/>
      </w:tblGrid>
      <w:tr>
        <w:trPr/>
        <w:tc>
          <w:tcPr>
            <w:tcW w:w="9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29630" cy="29210"/>
                      <wp:effectExtent l="0" t="0" r="0" b="0"/>
                      <wp:wrapNone/>
                      <wp:docPr id="1" name="Frame1"/>
                      <a:graphic xmlns:a="http://schemas.openxmlformats.org/drawingml/2006/main">
                        <a:graphicData uri="http://schemas.microsoft.com/office/word/2010/wordprocessingShape">
                          <wps:wsp>
                            <wps:cNvSpPr txBox="1"/>
                            <wps:spPr>
                              <a:xfrm>
                                <a:off x="0" y="0"/>
                                <a:ext cx="5929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67335" cy="29210"/>
                      <wp:effectExtent l="0" t="0" r="0" b="0"/>
                      <wp:wrapNone/>
                      <wp:docPr id="3" name="Frame3"/>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29210"/>
                      <wp:effectExtent l="0" t="0" r="0" b="0"/>
                      <wp:wrapNone/>
                      <wp:docPr id="4" name="Frame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1285" cy="29210"/>
                      <wp:effectExtent l="0" t="0" r="0" b="0"/>
                      <wp:wrapNone/>
                      <wp:docPr id="5" name="Frame5"/>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33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number of Identified Smelters </w:t>
            </w:r>
          </w:p>
        </w:tc>
        <w:tc>
          <w:tcPr>
            <w:tcW w:w="146" w:type="dxa"/>
            <w:tcBorders/>
            <w:vAlign w:val="center"/>
          </w:tcPr>
          <w:p>
            <w:pPr>
              <w:pStyle w:val="TableContents"/>
              <w:bidi w:val="0"/>
              <w:spacing w:lineRule="auto" w:line="307" w:before="0" w:after="0"/>
              <w:ind w:left="0" w:right="0" w:hanging="0"/>
              <w:jc w:val="center"/>
              <w:rPr/>
            </w:pPr>
            <w:r>
              <w:rPr/>
              <w:t> </w:t>
            </w:r>
          </w:p>
        </w:tc>
        <w:tc>
          <w:tcPr>
            <w:tcW w:w="421" w:type="dxa"/>
            <w:tcBorders/>
            <w:vAlign w:val="center"/>
          </w:tcPr>
          <w:p>
            <w:pPr>
              <w:pStyle w:val="TableContents"/>
              <w:bidi w:val="0"/>
              <w:spacing w:lineRule="auto" w:line="307"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lineRule="auto" w:line="307" w:before="0" w:after="0"/>
              <w:ind w:left="0" w:right="0" w:hanging="0"/>
              <w:jc w:val="left"/>
              <w:rPr/>
            </w:pPr>
            <w:r>
              <w:rPr/>
              <w:t> </w:t>
            </w:r>
          </w:p>
        </w:tc>
      </w:tr>
      <w:tr>
        <w:trPr/>
        <w:tc>
          <w:tcPr>
            <w:tcW w:w="933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Number of Identified Smelters designated “Conformant” by the RMI</w:t>
            </w:r>
          </w:p>
        </w:tc>
        <w:tc>
          <w:tcPr>
            <w:tcW w:w="146" w:type="dxa"/>
            <w:tcBorders/>
            <w:vAlign w:val="center"/>
          </w:tcPr>
          <w:p>
            <w:pPr>
              <w:pStyle w:val="TableContents"/>
              <w:bidi w:val="0"/>
              <w:spacing w:lineRule="auto" w:line="307" w:before="0" w:after="0"/>
              <w:ind w:left="0" w:right="0" w:hanging="0"/>
              <w:jc w:val="center"/>
              <w:rPr/>
            </w:pPr>
            <w:r>
              <w:rPr/>
              <w:t> </w:t>
            </w:r>
          </w:p>
        </w:tc>
        <w:tc>
          <w:tcPr>
            <w:tcW w:w="421" w:type="dxa"/>
            <w:tcBorders/>
            <w:vAlign w:val="center"/>
          </w:tcPr>
          <w:p>
            <w:pPr>
              <w:pStyle w:val="TableContents"/>
              <w:bidi w:val="0"/>
              <w:spacing w:lineRule="auto" w:line="307"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lineRule="auto" w:line="307" w:before="0" w:after="0"/>
              <w:ind w:left="0" w:right="0" w:hanging="0"/>
              <w:jc w:val="left"/>
              <w:rPr/>
            </w:pPr>
            <w:r>
              <w:rPr/>
              <w:t> </w:t>
            </w:r>
          </w:p>
        </w:tc>
      </w:tr>
      <w:tr>
        <w:trPr/>
        <w:tc>
          <w:tcPr>
            <w:tcW w:w="933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Number of Identified Smelters designated “Active” *</w:t>
            </w:r>
          </w:p>
        </w:tc>
        <w:tc>
          <w:tcPr>
            <w:tcW w:w="146" w:type="dxa"/>
            <w:tcBorders/>
            <w:vAlign w:val="center"/>
          </w:tcPr>
          <w:p>
            <w:pPr>
              <w:pStyle w:val="TableContents"/>
              <w:bidi w:val="0"/>
              <w:spacing w:lineRule="auto" w:line="307" w:before="0" w:after="0"/>
              <w:ind w:left="0" w:right="0" w:hanging="0"/>
              <w:jc w:val="center"/>
              <w:rPr/>
            </w:pPr>
            <w:r>
              <w:rPr/>
              <w:t> </w:t>
            </w:r>
          </w:p>
        </w:tc>
        <w:tc>
          <w:tcPr>
            <w:tcW w:w="421" w:type="dxa"/>
            <w:tcBorders/>
            <w:vAlign w:val="center"/>
          </w:tcPr>
          <w:p>
            <w:pPr>
              <w:pStyle w:val="TableContents"/>
              <w:bidi w:val="0"/>
              <w:spacing w:lineRule="auto" w:line="307"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lineRule="auto" w:line="307" w:before="0" w:after="0"/>
              <w:ind w:left="0" w:right="0" w:hanging="0"/>
              <w:jc w:val="left"/>
              <w:rPr/>
            </w:pPr>
            <w:r>
              <w:rPr/>
              <w:t> </w:t>
            </w:r>
          </w:p>
        </w:tc>
      </w:tr>
      <w:tr>
        <w:trPr/>
        <w:tc>
          <w:tcPr>
            <w:tcW w:w="9338" w:type="dxa"/>
            <w:tcBorders/>
            <w:vAlign w:val="center"/>
          </w:tcPr>
          <w:p>
            <w:pPr>
              <w:pStyle w:val="TableContents"/>
              <w:bidi w:val="0"/>
              <w:spacing w:lineRule="auto" w:line="307" w:before="0" w:after="0"/>
              <w:ind w:left="0" w:right="0" w:hanging="0"/>
              <w:jc w:val="left"/>
              <w:rPr>
                <w:rFonts w:ascii="Helvetica;sans-serif" w:hAnsi="Helvetica;sans-serif"/>
                <w:sz w:val="20"/>
              </w:rPr>
            </w:pPr>
            <w:r>
              <w:rPr>
                <w:rFonts w:ascii="Times New Roman;Times;serif" w:hAnsi="Times New Roman;Times;serif"/>
                <w:sz w:val="20"/>
              </w:rPr>
              <w:t>Number of Identified Smelters designated “Eligible” (</w:t>
            </w:r>
            <w:r>
              <w:rPr>
                <w:rFonts w:ascii="Times New Roman;Times;serif" w:hAnsi="Times New Roman;Times;serif"/>
                <w:i/>
                <w:sz w:val="20"/>
              </w:rPr>
              <w:t>i.e.</w:t>
            </w:r>
            <w:r>
              <w:rPr>
                <w:rFonts w:ascii="Times New Roman;Times;serif" w:hAnsi="Times New Roman;Times;serif"/>
                <w:sz w:val="20"/>
              </w:rPr>
              <w:t>, for which further information is needed to determine status)</w:t>
            </w:r>
          </w:p>
        </w:tc>
        <w:tc>
          <w:tcPr>
            <w:tcW w:w="146" w:type="dxa"/>
            <w:tcBorders/>
            <w:vAlign w:val="center"/>
          </w:tcPr>
          <w:p>
            <w:pPr>
              <w:pStyle w:val="TableContents"/>
              <w:bidi w:val="0"/>
              <w:spacing w:lineRule="auto" w:line="307" w:before="0" w:after="0"/>
              <w:ind w:left="0" w:right="0" w:hanging="0"/>
              <w:jc w:val="center"/>
              <w:rPr/>
            </w:pPr>
            <w:r>
              <w:rPr/>
              <w:t> </w:t>
            </w:r>
          </w:p>
        </w:tc>
        <w:tc>
          <w:tcPr>
            <w:tcW w:w="421" w:type="dxa"/>
            <w:tcBorders/>
            <w:vAlign w:val="center"/>
          </w:tcPr>
          <w:p>
            <w:pPr>
              <w:pStyle w:val="TableContents"/>
              <w:bidi w:val="0"/>
              <w:spacing w:lineRule="auto" w:line="307"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lineRule="auto" w:line="307" w:before="0" w:after="0"/>
              <w:ind w:left="0" w:right="0" w:hanging="0"/>
              <w:jc w:val="left"/>
              <w:rPr/>
            </w:pPr>
            <w:r>
              <w:rPr/>
              <w:t> </w:t>
            </w:r>
          </w:p>
        </w:tc>
      </w:tr>
    </w:tbl>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w:t>
      </w:r>
    </w:p>
    <w:p>
      <w:pPr>
        <w:pStyle w:val="TextBody"/>
        <w:pBdr/>
        <w:bidi w:val="0"/>
        <w:spacing w:lineRule="auto" w:line="307" w:before="0" w:after="0"/>
        <w:ind w:left="630" w:right="0" w:hanging="360"/>
        <w:jc w:val="both"/>
        <w:rPr>
          <w:rFonts w:ascii="Times New Roman;Times;serif" w:hAnsi="Times New Roman;Times;serif"/>
          <w:sz w:val="20"/>
        </w:rPr>
      </w:pPr>
      <w:r>
        <w:rPr>
          <w:rFonts w:ascii="Times New Roman;Times;serif" w:hAnsi="Times New Roman;Times;serif"/>
          <w:sz w:val="20"/>
        </w:rPr>
        <w:t>*  “Active” smelters are those that have committed to undergo a RMAP assessment.</w:t>
      </w:r>
    </w:p>
    <w:p>
      <w:pPr>
        <w:pStyle w:val="TextBody"/>
        <w:bidi w:val="0"/>
        <w:spacing w:lineRule="auto" w:line="307" w:before="0" w:after="160"/>
        <w:ind w:left="72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Although we request that our Identified Suppliers provide responses at the product-level, as stated above, seven of our Identified Suppliers that responded “yes” to the presence of conflict minerals in their products provided responses at the company-level, meaning that they reported the smelter and refiner information for all of their products, not just for the products sold to us. As such, the list of Identified Smelters disclosed in Exhibit A likely contains more smelters and refiners than those that actually process or refine the necessary conflict minerals contained in our products.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If we identify potential sanctions risk as part of the screening process described above, then we work with the relevant suppliers to evaluate and remediate such risks in a manner consistent with applicable sanctions-program requirements, including, where appropriate, requesting that suppliers remove sanctioned smelters and refiners from their supply chain.</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b/>
          <w:sz w:val="20"/>
        </w:rPr>
      </w:pPr>
      <w:r>
        <w:rPr>
          <w:rFonts w:ascii="Times New Roman;Times;serif" w:hAnsi="Times New Roman;Times;serif"/>
          <w:b/>
          <w:sz w:val="20"/>
        </w:rPr>
        <w:t>Continuous Improvement Efforts to Mitigate Risk</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The due diligence discussed above is an ongoing process. Subject to any changes to the Rule, for 2026, we currently intend to take the following steps to continue our efforts to improve our due diligence process: </w:t>
      </w:r>
    </w:p>
    <w:p>
      <w:pPr>
        <w:pStyle w:val="TextBody"/>
        <w:bidi w:val="0"/>
        <w:spacing w:lineRule="auto" w:line="307" w:before="0" w:after="160"/>
        <w:ind w:left="0" w:right="0" w:hanging="0"/>
        <w:jc w:val="left"/>
        <w:rPr/>
      </w:pPr>
      <w:r>
        <w:rPr/>
        <w:t>​</w:t>
      </w:r>
    </w:p>
    <w:tbl>
      <w:tblPr>
        <w:tblW w:w="8958" w:type="dxa"/>
        <w:jc w:val="left"/>
        <w:tblInd w:w="0" w:type="dxa"/>
        <w:tblLayout w:type="fixed"/>
        <w:tblCellMar>
          <w:top w:w="0" w:type="dxa"/>
          <w:left w:w="0" w:type="dxa"/>
          <w:bottom w:w="0" w:type="dxa"/>
          <w:right w:w="0" w:type="dxa"/>
        </w:tblCellMar>
      </w:tblPr>
      <w:tblGrid>
        <w:gridCol w:w="23"/>
        <w:gridCol w:w="110"/>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left"/>
              <w:rPr/>
            </w:pPr>
            <w:r>
              <w:rPr/>
              <w:t>•</w:t>
            </w:r>
          </w:p>
        </w:tc>
        <w:tc>
          <w:tcPr>
            <w:tcW w:w="8825" w:type="dxa"/>
            <w:tcBorders/>
            <w:vAlign w:val="center"/>
          </w:tcPr>
          <w:p>
            <w:pPr>
              <w:pStyle w:val="TableContents"/>
              <w:bidi w:val="0"/>
              <w:spacing w:lineRule="auto" w:line="307" w:before="0" w:after="0"/>
              <w:jc w:val="left"/>
              <w:rPr>
                <w:rFonts w:ascii="Times New Roman;Times;serif" w:hAnsi="Times New Roman;Times;serif"/>
                <w:sz w:val="20"/>
              </w:rPr>
            </w:pPr>
            <w:r>
              <w:rPr>
                <w:rFonts w:ascii="Times New Roman;Times;serif" w:hAnsi="Times New Roman;Times;serif"/>
                <w:sz w:val="20"/>
              </w:rPr>
              <w:t xml:space="preserve">Continue to conduct and report annually on supply chain due diligence for the applicable conflict minerals; </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left"/>
              <w:rPr/>
            </w:pPr>
            <w:r>
              <w:rPr/>
              <w:t>•</w:t>
            </w:r>
          </w:p>
        </w:tc>
        <w:tc>
          <w:tcPr>
            <w:tcW w:w="10072" w:type="dxa"/>
            <w:tcBorders/>
            <w:vAlign w:val="center"/>
          </w:tcPr>
          <w:p>
            <w:pPr>
              <w:pStyle w:val="TableContents"/>
              <w:bidi w:val="0"/>
              <w:spacing w:lineRule="auto" w:line="307" w:before="0" w:after="0"/>
              <w:jc w:val="left"/>
              <w:rPr>
                <w:rFonts w:ascii="Times New Roman;Times;serif" w:hAnsi="Times New Roman;Times;serif"/>
                <w:sz w:val="20"/>
              </w:rPr>
            </w:pPr>
            <w:r>
              <w:rPr>
                <w:rFonts w:ascii="Times New Roman;Times;serif" w:hAnsi="Times New Roman;Times;serif"/>
                <w:sz w:val="20"/>
              </w:rPr>
              <w:t>Continue to enhance our supplier validation program intended to promote supplier engagements and enhance supplier knowledge of responsible sourcing from the Covered Countries;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left"/>
              <w:rPr/>
            </w:pPr>
            <w:r>
              <w:rPr/>
              <w:t>•</w:t>
            </w:r>
          </w:p>
        </w:tc>
        <w:tc>
          <w:tcPr>
            <w:tcW w:w="10072" w:type="dxa"/>
            <w:tcBorders/>
            <w:vAlign w:val="center"/>
          </w:tcPr>
          <w:p>
            <w:pPr>
              <w:pStyle w:val="TableContents"/>
              <w:bidi w:val="0"/>
              <w:spacing w:lineRule="auto" w:line="307" w:before="0" w:after="0"/>
              <w:jc w:val="left"/>
              <w:rPr>
                <w:rFonts w:ascii="Times New Roman;Times;serif" w:hAnsi="Times New Roman;Times;serif"/>
                <w:sz w:val="20"/>
              </w:rPr>
            </w:pPr>
            <w:r>
              <w:rPr>
                <w:rFonts w:ascii="Times New Roman;Times;serif" w:hAnsi="Times New Roman;Times;serif"/>
                <w:sz w:val="20"/>
              </w:rPr>
              <w:t>Continue to encourage our suppliers to establish an alternative source of conflict minerals, if any are found to be supplying the Company with necessary conflict minerals from sources that support armed conflict in the Covered Countries;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left"/>
              <w:rPr/>
            </w:pPr>
            <w:r>
              <w:rPr/>
              <w:t>•</w:t>
            </w:r>
          </w:p>
        </w:tc>
        <w:tc>
          <w:tcPr>
            <w:tcW w:w="10072" w:type="dxa"/>
            <w:tcBorders/>
            <w:vAlign w:val="center"/>
          </w:tcPr>
          <w:p>
            <w:pPr>
              <w:pStyle w:val="TableContents"/>
              <w:bidi w:val="0"/>
              <w:spacing w:lineRule="auto" w:line="307" w:before="0" w:after="0"/>
              <w:jc w:val="left"/>
              <w:rPr>
                <w:rFonts w:ascii="Times New Roman;Times;serif" w:hAnsi="Times New Roman;Times;serif"/>
                <w:sz w:val="20"/>
              </w:rPr>
            </w:pPr>
            <w:r>
              <w:rPr>
                <w:rFonts w:ascii="Times New Roman;Times;serif" w:hAnsi="Times New Roman;Times;serif"/>
                <w:sz w:val="20"/>
              </w:rPr>
              <w:t xml:space="preserve">Continue to work with our suppliers who have indicated the presence of conflict minerals at a company-wide level to obtain product-level declarations in order to refine the smelter and refiner list to include only actual verified smelters or refiners within our supply chain; </w:t>
            </w:r>
          </w:p>
        </w:tc>
      </w:tr>
    </w:tbl>
    <w:tbl>
      <w:tblPr>
        <w:tblW w:w="6333" w:type="dxa"/>
        <w:jc w:val="left"/>
        <w:tblInd w:w="0" w:type="dxa"/>
        <w:tblLayout w:type="fixed"/>
        <w:tblCellMar>
          <w:top w:w="0" w:type="dxa"/>
          <w:left w:w="0" w:type="dxa"/>
          <w:bottom w:w="0" w:type="dxa"/>
          <w:right w:w="0" w:type="dxa"/>
        </w:tblCellMar>
      </w:tblPr>
      <w:tblGrid>
        <w:gridCol w:w="23"/>
        <w:gridCol w:w="11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left"/>
              <w:rPr/>
            </w:pPr>
            <w:r>
              <w:rPr/>
              <w:t>•</w:t>
            </w:r>
          </w:p>
        </w:tc>
        <w:tc>
          <w:tcPr>
            <w:tcW w:w="6200" w:type="dxa"/>
            <w:tcBorders/>
            <w:vAlign w:val="center"/>
          </w:tcPr>
          <w:p>
            <w:pPr>
              <w:pStyle w:val="TableContents"/>
              <w:bidi w:val="0"/>
              <w:spacing w:lineRule="auto" w:line="307" w:before="0" w:after="0"/>
              <w:jc w:val="left"/>
              <w:rPr>
                <w:rFonts w:ascii="Times New Roman;Times;serif" w:hAnsi="Times New Roman;Times;serif"/>
                <w:sz w:val="20"/>
              </w:rPr>
            </w:pPr>
            <w:r>
              <w:rPr>
                <w:rFonts w:ascii="Times New Roman;Times;serif" w:hAnsi="Times New Roman;Times;serif"/>
                <w:sz w:val="20"/>
              </w:rPr>
              <w:t>Continue to work to improve the accuracy of the smelter and refiner list; and</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307" w:before="0" w:after="0"/>
              <w:jc w:val="left"/>
              <w:rPr/>
            </w:pPr>
            <w:r>
              <w:rPr/>
              <w:t>•</w:t>
            </w:r>
          </w:p>
        </w:tc>
        <w:tc>
          <w:tcPr>
            <w:tcW w:w="10072" w:type="dxa"/>
            <w:tcBorders/>
            <w:vAlign w:val="center"/>
          </w:tcPr>
          <w:p>
            <w:pPr>
              <w:pStyle w:val="TableContents"/>
              <w:bidi w:val="0"/>
              <w:spacing w:lineRule="auto" w:line="307" w:before="0" w:after="0"/>
              <w:jc w:val="left"/>
              <w:rPr>
                <w:rFonts w:ascii="Times New Roman;Times;serif" w:hAnsi="Times New Roman;Times;serif"/>
                <w:sz w:val="20"/>
              </w:rPr>
            </w:pPr>
            <w:r>
              <w:rPr>
                <w:rFonts w:ascii="Times New Roman;Times;serif" w:hAnsi="Times New Roman;Times;serif"/>
                <w:sz w:val="20"/>
              </w:rPr>
              <w:t>Continue to work with our suppliers to ensure responsible sourcing worldwide, including avoiding sourcing from any country subject to sanctions or on global government watchlists.</w:t>
            </w:r>
          </w:p>
        </w:tc>
      </w:tr>
    </w:tbl>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Independent Private Sector Audit</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lineRule="auto" w:line="307" w:before="0" w:after="160"/>
        <w:ind w:left="0" w:right="0" w:hanging="0"/>
        <w:jc w:val="center"/>
        <w:rPr/>
      </w:pPr>
      <w:r>
        <w:rPr/>
        <w:t>​</w:t>
      </w:r>
    </w:p>
    <w:tbl>
      <w:tblPr>
        <w:tblW w:w="9153" w:type="dxa"/>
        <w:jc w:val="center"/>
        <w:tblInd w:w="0" w:type="dxa"/>
        <w:tblLayout w:type="fixed"/>
        <w:tblCellMar>
          <w:top w:w="28" w:type="dxa"/>
          <w:left w:w="28" w:type="dxa"/>
          <w:bottom w:w="28" w:type="dxa"/>
          <w:right w:w="28" w:type="dxa"/>
        </w:tblCellMar>
      </w:tblPr>
      <w:tblGrid>
        <w:gridCol w:w="841"/>
        <w:gridCol w:w="5116"/>
        <w:gridCol w:w="3196"/>
      </w:tblGrid>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8853 S.p.A.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ITALY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ABC Refinery Pty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Abington Reldan Metals, LLC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Advanced Chemical Company</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African Gold Refinery</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UGANDA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Agosi AG</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Aida Chemical Industries Co.,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 Etihad Gold Refinery DMCC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Albino Mountinho Lda.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PORTUGAL</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Alexy Metals</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Almalyk Mining and Metallurgical Complex (AMMC)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UZBEKISTAN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AngloGold Ashanti Corrego do Sitio Mineracao</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Argor-Heraeus S.A.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ASAHI METALFINE, Inc.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Asahi Refining Canada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Asahi Refining USA Inc.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Asaka Riken Co.,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Atasay Kuyumculuk Sanayi Ve Ticaret A.S.</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TURKEY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Attero Recycling Pvt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 Traders and Refiners</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SOUTH AFRICA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Augmont Enterprises Private Limited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Aurubis AG, Hamburg</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Bangalore Refinery</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Bangko Sentral ng Pilipinas (Central Bank of the Philippines)</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Boliden Mineral AB (Ronnskar)</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SWEDEN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 Hafner GmbH + Co. KG</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Caridad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MEXICO</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Cendres + Metaux S.A.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CGR Metalloys Pvt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Chimet S.p.A.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ITALY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Chugai Mining</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Coimpa Industrial LTDA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Daye Non-Ferrous Metals Mining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Degussa Sonne / Mond Goldhandel GmbH</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Dijllah Gold Refinery FZC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Do Sung Corporation (DSC)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Dongwu Gold Group</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Dowa</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Eco-System Recycling Co., Ltd. East Plant</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Eco-System Recycling Co., Ltd. North Plant</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Eco-System Recycling Co., Ltd. West Plant</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Elite Industech Co.,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Emerald Jewel Industry India Limited (Unit 1)</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Emerald Jewel Industry India Limited (Unit 2)</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Emerald Jewel Industry India Limited (Unit 3)</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Emerald Jewel Industry India Limited (Unit 4)</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Emirates Gold DMCC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Fidelity Printers and Refiners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ZIMBABWE</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Fujairah Gold FZC</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Gasabo Gold Refinery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RWANDA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GG Refinery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TANZANIA, UNITED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GGC Gujrat Gold Centre Pvt. Ltd.</w:t>
            </w:r>
          </w:p>
        </w:tc>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bl>
    <w:p>
      <w:pPr>
        <w:pStyle w:val="HorizontalLine"/>
        <w:pBdr>
          <w:bottom w:val="double" w:sz="2" w:space="0" w:color="808080"/>
        </w:pBdr>
        <w:bidi w:val="0"/>
        <w:spacing w:before="0" w:after="283"/>
        <w:jc w:val="left"/>
        <w:rPr/>
      </w:pPr>
      <w:r>
        <w:rPr/>
      </w:r>
    </w:p>
    <w:tbl>
      <w:tblPr>
        <w:tblW w:w="9123" w:type="dxa"/>
        <w:jc w:val="center"/>
        <w:tblInd w:w="0" w:type="dxa"/>
        <w:tblLayout w:type="fixed"/>
        <w:tblCellMar>
          <w:top w:w="28" w:type="dxa"/>
          <w:left w:w="28" w:type="dxa"/>
          <w:bottom w:w="28" w:type="dxa"/>
          <w:right w:w="28" w:type="dxa"/>
        </w:tblCellMar>
      </w:tblPr>
      <w:tblGrid>
        <w:gridCol w:w="841"/>
        <w:gridCol w:w="5446"/>
        <w:gridCol w:w="2836"/>
      </w:tblGrid>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Glencore Canada Corporation - CCR Refinery</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 by Gold Colombia</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COLOMBIA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 Coast Refinery</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GHANA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 Corporation - The Perth Mint</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Great Wall Precious Metals Co., Ltd. of CBPM</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Hangzhou Fuchunjiang Smelting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Heimerle + Meule GmbH</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Heraeus Germany GmbH Co. KG</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Heraeus Metals Hong Kong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Hunan Chenzhou Mining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Hunan Guiyang yinxing Nonferrous Smelting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HwaSeong CJ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Impala Platinum - Base Metal Refinery (BMR)</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SOUTH AFRICA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Impala Platinum - Platinum Metals Refinery (PMR)</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SOUTH AFRICA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Impala Platinum - Rustenburg Smelter</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SOUTH AFRICA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Inner Mongolia Qiankun Gold and Silver Refinery Share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International Precious Metal Refiners</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Ishifuku Metal Industry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Istanbul Gold Refinery</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TURKEY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Italpreziosi</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ITALY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JALAN &amp; Company</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 Mint</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Copper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JSC Ekaterinburg Non-Ferrous Metal Processing Plant</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JSC Novosibirsk Refinery</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JSC Uralelectromed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JX Advanced Metals Corporation</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 Rasmussen</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NORWAY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Kazakhmys Smelting LLC</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KAZAKHSTAN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Kazzinc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KAZAKHSTAN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Kennecott Utah Copper LLC</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KGHM Polska Miedz Spolka Akcyjna</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POLAND</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Kojima Chemicals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Zinc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KP Sanghvi International Pvt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Kundan Care Products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Kyrgyzaltyn JSC</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KYRGYZSTAN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Kyshtym Copper-Electrolytic Plant ZAO</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L'azurde Company For Jewelry</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SAUDI ARABIA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Lingbao Gold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L'Orfebre S.A.</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ANDORRA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LS MnM Inc.</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LT Metal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Luoyang Zijin Yinhui Gold Refinery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Marsam Metals</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Materion</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Matsuda Sangyo Co.,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MD Overseas</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 Concentrators SA (Pty)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SOUTH AFRICA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Metallix Refining Inc.</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Metalor Technologies (Hong Kong)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Metalor Technologies (Singapore) Pte.,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Metalor Technologies (Suzhou) Ltd.</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5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Metalor Technologies S.A.</w:t>
            </w:r>
          </w:p>
        </w:tc>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bl>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841"/>
        <w:gridCol w:w="6615"/>
        <w:gridCol w:w="2749"/>
      </w:tblGrid>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Metalor USA Refining Corporation</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Metalurgica Met-Mex Penoles S.A. De C.V.</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MEXICO</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Minera Titan del Peru SRL (MTP) - Belen Plant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PERU</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Mitsubishi Materials Corporation</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Mitsui Mining and Smelting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MKS PAMP SA</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MMTC-PAMP India Pvt.,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Modeltech Sdn Bhd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MALAYSIA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Morris and Watson</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NEW ZEALAND</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Moscow Special Alloys Processing Plant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Nadir Metal Rafineri San. Ve Tic. A.S.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TURKEY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Navoi Mining and Metallurgical Combinat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UZBEKISTAN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NH Recytech Company</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Nihon Material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NOBLE METAL SERVICES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Oegussa Oesterreichische Gold- und Silber-Scheideanstalt Gesm.b.H.</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AUSTRIA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Ohura Precious Metal Industry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OJSC "The Gulidov Krasnoyarsk Non-Ferrous Metals Plant" (OJSC Krastsvetmet)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Pease &amp; Curren</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Penglai Penggang Gold Industry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Planta Recuperadora de Metales SpA</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CHILE</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Prioksky Plant of Non-Ferrous Metals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Aneka Tambang (Persero) Tbk</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PX Precinox S.A.</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QG Refining, LLC</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Rand Refinery (Pty)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SOUTH AFRICA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REMONDIS PMR B.V.</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Royal Canadian Mint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SAAMP</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FRANCE</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Sabin Metal Corp.</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Safimet S.p.A</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ITALY</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SAFINA A.S.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CZECHIA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SAM Precious Metals FZ-LLC</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Samduck Precious Metals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Samwon Metals Corp.</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SEMPSA Joyeria Plateria S.A.</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SPAIN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Shandong Gold Smelting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Shandong Humon Smelting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Shandong Tiancheng Biological Gold Industrial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Shandong Zhaojin Gold &amp; Silver Refinery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Shenzhen CuiLu Gold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SHENZHEN JINJUNWEI RESOURCE COMPREHENSIVE DEVELOPMENT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Shenzhen Zhonghenglong Real Industry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Shirpur Gold Refinery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Sichuan Tianze Precious Metals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Singway Technology Co., Ltd.</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SOE Shyolkovsky Factory of Secondary Precious Metals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Solar Applied Materials Technology Corp.</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SOLEIL METALS (Chala One Plant)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PERU</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SOLEIL METALS (YAKARI Plant)</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PERU</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Sovereign Metals</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66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State Research Institute Center for Physical Sciences and Technology</w:t>
            </w:r>
          </w:p>
        </w:tc>
        <w:tc>
          <w:tcPr>
            <w:tcW w:w="27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LITHUANIA</w:t>
            </w:r>
          </w:p>
        </w:tc>
      </w:tr>
    </w:tbl>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901"/>
        <w:gridCol w:w="4111"/>
        <w:gridCol w:w="5193"/>
      </w:tblGrid>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Sumitomo Metal Mining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SungEel HiMetal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Super Dragon Technology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T.C.A S.p.A</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ITALY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Tanaka Kikinzoku Kogyo K.K.</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Tau-Ken-Altyn</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KAZAKHSTAN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TITAN COMPANY LIMITED, JEWELLERY DIVISION</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Tokuriki Honten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Tongling Nonferrous Jinguan (Ausmelt) Copper Industry</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Torecom</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Umicore Precious Metals Thailand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THAILAND</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Umicore S.A. Business Unit Precious Metals Refining</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BELGIUM</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Precious Metal Refining, Inc.</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Valcambi S.A.</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WEEEREFINING</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FRANCE</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WIELAND Edelmetalle GmbH</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Yamakin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Yokohama Metal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Yunnan Copper Southwest Copper Branch</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Zhongyuan Gold Smelter of Zhongjin Gold Corporation</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Gold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Zijin Mining Group Gold Smelting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5D Production OU</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ESTONIA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AMG Brasil</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Avon Specialty Metals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KINGDOM OF GREAT BRITAIN AND NORTHERN IRELAND</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Baoji Towin Rare Metals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Changsha South Tantalum Niobium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CMT Rare Metal Advanced Materials (Hunan)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 Block Metals, LLC</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Exotech Inc.</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F&amp;X Electro-Materials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FIR Metals &amp; Resource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Global Advanced Metals Aizu</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Global Advanced Metals Boyertown</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Guangdong Rising Rare Metals-EO Materials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Hengyang King Xing Lifeng New Materials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Dinghai Tantalum &amp; Niobium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Suns Nonferrous Materials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Tuohong New Raw Material</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Jiujiang Janny New Material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JiuJiang JinXin Nonferrous Metals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Jiujiang Tanbre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Jiujiang Zhongao Tantalum &amp; Niobium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KEMET de Mexico</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MEXICO</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Materion Newton Inc.</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Metallurgical Products India Pvt.,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Mineracao Taboca S.A.</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Mitsui Kinzoku Company, Limited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Ningxia Orient Tantalum Industry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NPM Silmet OU</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ESTONIA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PowerX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RWANDA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QuantumClean</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Resind Industria e Comercio Ltda.</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RFH Recycling Metals Co., Ltd.</w:t>
            </w:r>
          </w:p>
        </w:tc>
        <w:tc>
          <w:tcPr>
            <w:tcW w:w="51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bl>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901"/>
        <w:gridCol w:w="6160"/>
        <w:gridCol w:w="3144"/>
      </w:tblGrid>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RFH Yancheng Jinye New Material Technology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Solikamsk Magnesium Works OAO</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STEREON Metals Hermsdorf GmbH</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Taki Chemical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TANIOBIS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THAILAND</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TANIOBIS GmbH</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TANIOBIS Japan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TANIOBIS Smelting GmbH &amp; Co. KG</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Telex Metals</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Ulba Metallurgical Plant JSC</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KAZAKHSTAN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ULVAC Inc.</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V&amp;D New Materials (Jiangsu)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XIMEI RESOURCES (GUANGDONG) LIMITED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XIMEI RESOURCES(GUIZHOU) TECHNOLOGY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XinXing HaoRong Electronic Material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Yanling Jincheng Tantalum &amp; Niobium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Tantalum</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Zhuzhou Cemented Carbide Group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Alpha Assembly Solutions Inc</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An Vinh Joint Stock Mineral Processing Company</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Aurubis Beerse</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BELGIUM</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Aurubis Berango</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SPAIN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Chenzhou Yunxiang Mining and Metallurgy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Chifeng Dajingzi Tin Industry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 Tin Group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Conecsus LLC</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CRM Fundicao De Metais E Comercio De Equipamentos Eletronicos Do Brasil Ltda</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CRM Synergies EMEA, S.L.U.</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SPAIN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CV Ayi Jaya</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Dongguan Best Alloys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Dongguan CiEXPO Environmental Engineering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Dowa</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Electro-Mechanical Facility of the Cao Bang Minerals &amp; Metallurgy Joint Stock Company</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Empresa Metallurgica Vinto</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BOLIVIA (PLURINATIONAL STATE OF)</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Estanho de Rondonia S.A.</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Fabrica Auricchio Industria e Comercio Ltda.</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Feinhutte Halsbrucke GmbH</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Fenix Metals</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POLAND</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Gejiu City Fuxiang Industry and Trade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Gejiu Kai Meng Industry and Trade LLC</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Gejiu Non-Ferrous Metal Processing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Gejiu Yunxin Nonferrous Electrolysis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Gejiu Zili Mining And Metallurgy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Global Advanced Metals Greenbushes Pty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Guangdong Hanhe Non-ferrous Metal Limited Company</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HuiChang Hill Tin Industry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Jean Goldschmidt International (JGI Hydrometal)</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BELGIUM</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New Nanshan Technology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Longnan Chuangyue Environmental Protection Technology Development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Luna Smelter,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RWANDA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Ma'anshan Weitai Tin Co., Ltd.</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61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Magnu's Minerais Metais e Ligas Ltda.</w:t>
            </w:r>
          </w:p>
        </w:tc>
        <w:tc>
          <w:tcPr>
            <w:tcW w:w="3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bl>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886"/>
        <w:gridCol w:w="5208"/>
        <w:gridCol w:w="4111"/>
      </w:tblGrid>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Malaysia Smelting Corporation Berhad (Port Klang)</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MALAYSIA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Melt Metais e Ligas S.A.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Metallic Resources, Inc.</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Mineracao Taboca S.A.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Mining Minerals Resources SARL</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CONGO, DEMOCRATIC REPUBLIC OF THE</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Minsur</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PERU</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Mitsubishi Materials Corporation</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Modeltech Sdn Bhd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MALAYSIA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Nghe Tinh Non-Ferrous Metals Joint Stock Company</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Novosibirsk Tin Combine</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O.M. Manufacturing (Thailand) Co.,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THAILAND</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O.M. Manufacturing Philippines, Inc.</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PHILIPPINES</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Operaciones Metalurgicas S.A.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BOLIVIA (PLURINATIONAL STATE OF)</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 Kay Metal, Inc</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Precious Minerals and Smelting Limited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Aries Kencana Sejahtera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Arsed Indonesia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Artha Cipta Langgeng</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ATD Makmur Mandiri Jaya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Bangka Prima Tin</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Cipta Persada Mulia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Masbro Alam Stania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Mitra Graha Raya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Mitra Stania Prima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Mitra Sukses Globalindo</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Premium Tin Indonesia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Prima Timah Utama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Putera Sarana Shakti (PT PSS)</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Rajehan Ariq</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Timah Tbk Kundur</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PT Timah Tbk Mentok</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Resind Industria e Comercio Ltda.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Rian Resources SDN. BHD.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MALAYSIA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RIKAYAA GREENTECH PRIVATE LIMITED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Rui Da Hung Technology Materials Co.</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Soft Metais Ltda.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Super Ligas</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Takehara PVD Materials Plant / PVD Materials Division of MITSUI MINING &amp; SMELTING CO.,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Thaisarco</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THAILAND</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 Smelting Branch of Yunnan Tin Co.,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 Technology &amp; Refining</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TRATHO Metal Quimica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VQB Mineral and Trading Group JSC</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White Solder Metalurgia e Mineracao Ltda.</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Woodcross Smelting Company Limited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UGANDA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Yunnan Chengfeng Non-ferrous Metals Co.,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Yunnan Yunfan Non-ferrous Metals Co.,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A.L.M.T. Corp.</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Albasteel Industria e Comercio de Ligas Para Fundicao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Asia Tungsten Products Vietnam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Avon Specialty Metals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KINGDOM OF GREAT BRITAIN AND NORTHERN IRELAND</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52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 Molybdenum Tungsten Co., Ltd.</w:t>
            </w:r>
          </w:p>
        </w:tc>
        <w:tc>
          <w:tcPr>
            <w:tcW w:w="4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bl>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886"/>
        <w:gridCol w:w="6555"/>
        <w:gridCol w:w="2764"/>
      </w:tblGrid>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METAL</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STANDARD SMELTER NAME</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COUNTRY</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Chongyi Zhangyuan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CNMC (Guangxi) PGMA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Cronimet Brasil Ltda</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BRAZIL</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Fujian Xinlu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Ganzhou Jiangwu Ferrotungsten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Ganzhou Seadragon W &amp; Mo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Ganzhou Sunny Non-Ferrous Metals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Global Tungsten &amp; Powders LLC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Guangdong Xianglu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H.C. Starck Tungsten GmbH</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Hubei Green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Hunan Jintai New Material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Hunan Shizhuyuan Nonferrous Metals Co., Ltd. Chenzhou Tungsten Products Branch</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Hydrometallurg, JSC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 New Metals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JAPAN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Jiangwu H.C. Starck Tungsten Products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Gan Bei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Minmetals Gao'an Non-ferrous Metals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Tonggu Non-ferrous Metallurgical &amp; Chemical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Xinsheng Tungsten Industry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Jiangxi Yaosheng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Jing Yuan Tungsten Technology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JSC "Kirovgrad Hard Alloys Plant"</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KENEE MINING VIETNAM COMPANY LIMITED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Kennametal Fallon</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Kennametal Huntsville</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Lianyou Advanced Materials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Lianyou Metals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TAIWAN, PROVINCE OF 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Malipo Haiyu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Masan High-Tech Materials</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Moliren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Nam Viet Cromit Joint Stock Company</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Niagara Refining LLC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UNITED STATES OF AMERICA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NPP Tyazhmetprom LLC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OOO “Technolom” 1</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OOO “Technolom” 2</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 Bonway Manufacturing Industrial Corporation</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PHILIPPINES</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 Carreytech Metal Corp.</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PHILIPPINES</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 Chuangxin Industrial Co., Inc.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PHILIPPINES</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Plansee Composite Materials GmbH</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S.P.T. spol.s r.o.</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CZECHIA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Sanher Tungsten Vietnam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Shinwon Tungsten (Fujian Shanghang)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TANIOBIS Smelting GmbH &amp; Co. KG</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Tungamoy Metals Inc.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KOREA, REPUBLIC OF</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 Vietnam Joint Stock Company</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VIET NAM</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Unecha Refractory metals plant</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RUSSIAN FEDERATION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Uzbekistan Technological Metallurgical Complex JSC</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UZBEKISTAN</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Wolfram Bergbau und Hutten AG</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AUSTRIA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Xiamen Tungsten (H.C.)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Xiamen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Tungsten</w:t>
            </w:r>
          </w:p>
        </w:tc>
        <w:tc>
          <w:tcPr>
            <w:tcW w:w="65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YUDU ANSHENG TUNGSTEN CO., LTD.</w:t>
            </w:r>
          </w:p>
        </w:tc>
        <w:tc>
          <w:tcPr>
            <w:tcW w:w="27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CHINA</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5501</Words>
  <Characters>31560</Characters>
  <CharactersWithSpaces>36014</CharactersWithSpaces>
  <Paragraphs>1364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